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2CB0F138" w14:textId="77777777">
        <w:tc>
          <w:tcPr>
            <w:tcW w:w="1620" w:type="dxa"/>
            <w:tcBorders>
              <w:bottom w:val="single" w:sz="4" w:space="0" w:color="auto"/>
            </w:tcBorders>
            <w:shd w:val="clear" w:color="auto" w:fill="FFFFFF"/>
            <w:vAlign w:val="center"/>
          </w:tcPr>
          <w:p w14:paraId="318DABC5" w14:textId="77777777" w:rsidR="00152993" w:rsidRDefault="00D825C5" w:rsidP="0001014F">
            <w:pPr>
              <w:pStyle w:val="Header"/>
              <w:rPr>
                <w:rFonts w:ascii="Verdana" w:hAnsi="Verdana"/>
                <w:sz w:val="22"/>
              </w:rPr>
            </w:pPr>
            <w:r>
              <w:t>NOG</w:t>
            </w:r>
            <w:r w:rsidR="00C158EE">
              <w:t xml:space="preserve">RR </w:t>
            </w:r>
            <w:r w:rsidR="00152993">
              <w:t>Number</w:t>
            </w:r>
          </w:p>
        </w:tc>
        <w:tc>
          <w:tcPr>
            <w:tcW w:w="1260" w:type="dxa"/>
            <w:tcBorders>
              <w:bottom w:val="single" w:sz="4" w:space="0" w:color="auto"/>
            </w:tcBorders>
            <w:vAlign w:val="center"/>
          </w:tcPr>
          <w:p w14:paraId="2303836D" w14:textId="0891F1E5" w:rsidR="00152993" w:rsidRDefault="00901786" w:rsidP="0001014F">
            <w:pPr>
              <w:pStyle w:val="Header"/>
            </w:pPr>
            <w:hyperlink r:id="rId7" w:history="1">
              <w:r w:rsidRPr="00C85731">
                <w:rPr>
                  <w:rStyle w:val="Hyperlink"/>
                </w:rPr>
                <w:t>282</w:t>
              </w:r>
            </w:hyperlink>
          </w:p>
        </w:tc>
        <w:tc>
          <w:tcPr>
            <w:tcW w:w="1440" w:type="dxa"/>
            <w:tcBorders>
              <w:bottom w:val="single" w:sz="4" w:space="0" w:color="auto"/>
            </w:tcBorders>
            <w:shd w:val="clear" w:color="auto" w:fill="FFFFFF"/>
            <w:vAlign w:val="center"/>
          </w:tcPr>
          <w:p w14:paraId="58D5C4C9" w14:textId="77777777" w:rsidR="00152993" w:rsidRDefault="00D825C5" w:rsidP="0001014F">
            <w:pPr>
              <w:pStyle w:val="Header"/>
            </w:pPr>
            <w:r>
              <w:t>NOG</w:t>
            </w:r>
            <w:r w:rsidR="00C158EE">
              <w:t xml:space="preserve">RR </w:t>
            </w:r>
            <w:r w:rsidR="00152993">
              <w:t>Title</w:t>
            </w:r>
          </w:p>
        </w:tc>
        <w:tc>
          <w:tcPr>
            <w:tcW w:w="6120" w:type="dxa"/>
            <w:tcBorders>
              <w:bottom w:val="single" w:sz="4" w:space="0" w:color="auto"/>
            </w:tcBorders>
            <w:vAlign w:val="center"/>
          </w:tcPr>
          <w:p w14:paraId="1BEB4B35" w14:textId="475482AC" w:rsidR="00152993" w:rsidRDefault="00C85731" w:rsidP="0001014F">
            <w:pPr>
              <w:pStyle w:val="Header"/>
            </w:pPr>
            <w:r w:rsidRPr="00C85731">
              <w:t>Board Priority - Large Electronic Load Ride-Through Requirements</w:t>
            </w:r>
          </w:p>
        </w:tc>
      </w:tr>
    </w:tbl>
    <w:p w14:paraId="1B22B754" w14:textId="77777777" w:rsidR="002771E6" w:rsidRDefault="002771E6" w:rsidP="0001014F"/>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05D2849" w14:textId="77777777" w:rsidTr="7AFE8BAC">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30552AC0" w14:textId="77777777" w:rsidR="00152993" w:rsidRDefault="00152993" w:rsidP="0001014F">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4E55E5C9" w14:textId="02D7455C" w:rsidR="00152993" w:rsidRDefault="00882279" w:rsidP="0001014F">
            <w:pPr>
              <w:pStyle w:val="NormalArial"/>
            </w:pPr>
            <w:r>
              <w:t>April 1</w:t>
            </w:r>
            <w:r w:rsidR="5E477C33">
              <w:t>, 2026</w:t>
            </w:r>
          </w:p>
        </w:tc>
      </w:tr>
    </w:tbl>
    <w:p w14:paraId="20DF5150" w14:textId="77777777" w:rsidR="002771E6" w:rsidRDefault="002771E6" w:rsidP="0001014F"/>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7689548E" w14:textId="77777777" w:rsidTr="7AFE8BAC">
        <w:trPr>
          <w:trHeight w:val="440"/>
        </w:trPr>
        <w:tc>
          <w:tcPr>
            <w:tcW w:w="10440" w:type="dxa"/>
            <w:gridSpan w:val="2"/>
            <w:tcBorders>
              <w:top w:val="single" w:sz="4" w:space="0" w:color="auto"/>
            </w:tcBorders>
            <w:shd w:val="clear" w:color="auto" w:fill="FFFFFF" w:themeFill="background1"/>
            <w:vAlign w:val="center"/>
          </w:tcPr>
          <w:p w14:paraId="3BC458A4" w14:textId="77777777" w:rsidR="00152993" w:rsidRDefault="00152993" w:rsidP="0001014F">
            <w:pPr>
              <w:pStyle w:val="Header"/>
              <w:jc w:val="center"/>
            </w:pPr>
            <w:r>
              <w:t>Submitter’s Information</w:t>
            </w:r>
          </w:p>
        </w:tc>
      </w:tr>
      <w:tr w:rsidR="00152993" w14:paraId="333930F0" w14:textId="77777777" w:rsidTr="7AFE8BAC">
        <w:trPr>
          <w:trHeight w:val="350"/>
        </w:trPr>
        <w:tc>
          <w:tcPr>
            <w:tcW w:w="2880" w:type="dxa"/>
            <w:shd w:val="clear" w:color="auto" w:fill="FFFFFF" w:themeFill="background1"/>
            <w:vAlign w:val="center"/>
          </w:tcPr>
          <w:p w14:paraId="0D7DC8A5" w14:textId="77777777" w:rsidR="00152993" w:rsidRPr="00EC55B3" w:rsidRDefault="00152993" w:rsidP="0001014F">
            <w:pPr>
              <w:pStyle w:val="Header"/>
            </w:pPr>
            <w:r w:rsidRPr="00EC55B3">
              <w:t>Name</w:t>
            </w:r>
          </w:p>
        </w:tc>
        <w:tc>
          <w:tcPr>
            <w:tcW w:w="7560" w:type="dxa"/>
            <w:vAlign w:val="center"/>
          </w:tcPr>
          <w:p w14:paraId="2D871B90" w14:textId="632116DC" w:rsidR="00152993" w:rsidRDefault="002255C7" w:rsidP="0001014F">
            <w:pPr>
              <w:pStyle w:val="NormalArial"/>
            </w:pPr>
            <w:r>
              <w:t>Jessi Goostree</w:t>
            </w:r>
          </w:p>
        </w:tc>
      </w:tr>
      <w:tr w:rsidR="00152993" w14:paraId="2F9FD450" w14:textId="77777777" w:rsidTr="7AFE8BAC">
        <w:trPr>
          <w:trHeight w:val="350"/>
        </w:trPr>
        <w:tc>
          <w:tcPr>
            <w:tcW w:w="2880" w:type="dxa"/>
            <w:shd w:val="clear" w:color="auto" w:fill="FFFFFF" w:themeFill="background1"/>
            <w:vAlign w:val="center"/>
          </w:tcPr>
          <w:p w14:paraId="341747EC" w14:textId="77777777" w:rsidR="00152993" w:rsidRPr="00EC55B3" w:rsidRDefault="00152993" w:rsidP="0001014F">
            <w:pPr>
              <w:pStyle w:val="Header"/>
            </w:pPr>
            <w:r w:rsidRPr="00EC55B3">
              <w:t>E-mail Address</w:t>
            </w:r>
          </w:p>
        </w:tc>
        <w:tc>
          <w:tcPr>
            <w:tcW w:w="7560" w:type="dxa"/>
            <w:vAlign w:val="center"/>
          </w:tcPr>
          <w:p w14:paraId="7C2EEF50" w14:textId="04412170" w:rsidR="00152993" w:rsidRDefault="002255C7" w:rsidP="0001014F">
            <w:pPr>
              <w:pStyle w:val="NormalArial"/>
            </w:pPr>
            <w:hyperlink r:id="rId8" w:history="1">
              <w:r w:rsidRPr="0054129E">
                <w:rPr>
                  <w:rStyle w:val="Hyperlink"/>
                </w:rPr>
                <w:t>jessi@texasblockchaincouncil.org</w:t>
              </w:r>
            </w:hyperlink>
          </w:p>
        </w:tc>
      </w:tr>
      <w:tr w:rsidR="00152993" w14:paraId="176CC1C5" w14:textId="77777777" w:rsidTr="7AFE8BAC">
        <w:trPr>
          <w:trHeight w:val="350"/>
        </w:trPr>
        <w:tc>
          <w:tcPr>
            <w:tcW w:w="2880" w:type="dxa"/>
            <w:shd w:val="clear" w:color="auto" w:fill="FFFFFF" w:themeFill="background1"/>
            <w:vAlign w:val="center"/>
          </w:tcPr>
          <w:p w14:paraId="21A0CB78" w14:textId="77777777" w:rsidR="00152993" w:rsidRPr="00EC55B3" w:rsidRDefault="00152993" w:rsidP="0001014F">
            <w:pPr>
              <w:pStyle w:val="Header"/>
            </w:pPr>
            <w:r w:rsidRPr="00EC55B3">
              <w:t>Company</w:t>
            </w:r>
          </w:p>
        </w:tc>
        <w:tc>
          <w:tcPr>
            <w:tcW w:w="7560" w:type="dxa"/>
            <w:vAlign w:val="center"/>
          </w:tcPr>
          <w:p w14:paraId="30AA7C3B" w14:textId="13CCDD6B" w:rsidR="00152993" w:rsidRDefault="002255C7" w:rsidP="0001014F">
            <w:pPr>
              <w:pStyle w:val="NormalArial"/>
            </w:pPr>
            <w:r>
              <w:t>Texas Blockchain Council</w:t>
            </w:r>
          </w:p>
        </w:tc>
      </w:tr>
      <w:tr w:rsidR="00152993" w14:paraId="4DC06A22" w14:textId="77777777" w:rsidTr="7AFE8BAC">
        <w:trPr>
          <w:trHeight w:val="350"/>
        </w:trPr>
        <w:tc>
          <w:tcPr>
            <w:tcW w:w="2880" w:type="dxa"/>
            <w:tcBorders>
              <w:bottom w:val="single" w:sz="4" w:space="0" w:color="auto"/>
            </w:tcBorders>
            <w:shd w:val="clear" w:color="auto" w:fill="FFFFFF" w:themeFill="background1"/>
            <w:vAlign w:val="center"/>
          </w:tcPr>
          <w:p w14:paraId="42527058" w14:textId="77777777" w:rsidR="00152993" w:rsidRPr="00EC55B3" w:rsidRDefault="00152993" w:rsidP="0001014F">
            <w:pPr>
              <w:pStyle w:val="Header"/>
            </w:pPr>
            <w:r w:rsidRPr="00EC55B3">
              <w:t>Phone Number</w:t>
            </w:r>
          </w:p>
        </w:tc>
        <w:tc>
          <w:tcPr>
            <w:tcW w:w="7560" w:type="dxa"/>
            <w:tcBorders>
              <w:bottom w:val="single" w:sz="4" w:space="0" w:color="auto"/>
            </w:tcBorders>
            <w:vAlign w:val="center"/>
          </w:tcPr>
          <w:p w14:paraId="6FACA846" w14:textId="35570B7E" w:rsidR="00152993" w:rsidRDefault="00152993" w:rsidP="0001014F">
            <w:pPr>
              <w:pStyle w:val="NormalArial"/>
            </w:pPr>
          </w:p>
        </w:tc>
      </w:tr>
      <w:tr w:rsidR="00152993" w14:paraId="45756D59" w14:textId="77777777" w:rsidTr="7AFE8BAC">
        <w:trPr>
          <w:trHeight w:val="350"/>
        </w:trPr>
        <w:tc>
          <w:tcPr>
            <w:tcW w:w="2880" w:type="dxa"/>
            <w:shd w:val="clear" w:color="auto" w:fill="FFFFFF" w:themeFill="background1"/>
            <w:vAlign w:val="center"/>
          </w:tcPr>
          <w:p w14:paraId="69B478FC" w14:textId="77777777" w:rsidR="00152993" w:rsidRPr="00EC55B3" w:rsidRDefault="00075A94" w:rsidP="0001014F">
            <w:pPr>
              <w:pStyle w:val="Header"/>
            </w:pPr>
            <w:r>
              <w:t>Cell</w:t>
            </w:r>
            <w:r w:rsidRPr="00EC55B3">
              <w:t xml:space="preserve"> </w:t>
            </w:r>
            <w:r w:rsidR="00152993" w:rsidRPr="00EC55B3">
              <w:t>Number</w:t>
            </w:r>
          </w:p>
        </w:tc>
        <w:tc>
          <w:tcPr>
            <w:tcW w:w="7560" w:type="dxa"/>
            <w:vAlign w:val="center"/>
          </w:tcPr>
          <w:p w14:paraId="4B924532" w14:textId="77777777" w:rsidR="00152993" w:rsidRDefault="00152993" w:rsidP="0001014F">
            <w:pPr>
              <w:pStyle w:val="NormalArial"/>
            </w:pPr>
          </w:p>
        </w:tc>
      </w:tr>
      <w:tr w:rsidR="00075A94" w14:paraId="429E3C61" w14:textId="77777777" w:rsidTr="7AFE8BAC">
        <w:trPr>
          <w:trHeight w:val="350"/>
        </w:trPr>
        <w:tc>
          <w:tcPr>
            <w:tcW w:w="2880" w:type="dxa"/>
            <w:tcBorders>
              <w:bottom w:val="single" w:sz="4" w:space="0" w:color="auto"/>
            </w:tcBorders>
            <w:shd w:val="clear" w:color="auto" w:fill="FFFFFF" w:themeFill="background1"/>
            <w:vAlign w:val="center"/>
          </w:tcPr>
          <w:p w14:paraId="44F0D589" w14:textId="77777777" w:rsidR="00075A94" w:rsidRPr="00EC55B3" w:rsidDel="00075A94" w:rsidRDefault="00075A94" w:rsidP="0001014F">
            <w:pPr>
              <w:pStyle w:val="Header"/>
            </w:pPr>
            <w:r>
              <w:t>Market Segment</w:t>
            </w:r>
          </w:p>
        </w:tc>
        <w:tc>
          <w:tcPr>
            <w:tcW w:w="7560" w:type="dxa"/>
            <w:tcBorders>
              <w:bottom w:val="single" w:sz="4" w:space="0" w:color="auto"/>
            </w:tcBorders>
            <w:vAlign w:val="center"/>
          </w:tcPr>
          <w:p w14:paraId="663CB951" w14:textId="24242C9F" w:rsidR="00075A94" w:rsidRDefault="0001014F" w:rsidP="0001014F">
            <w:pPr>
              <w:pStyle w:val="NormalArial"/>
            </w:pPr>
            <w:r>
              <w:t>Not applicable</w:t>
            </w:r>
          </w:p>
        </w:tc>
      </w:tr>
    </w:tbl>
    <w:p w14:paraId="6B040F80" w14:textId="77777777" w:rsidR="00075A94" w:rsidRDefault="00075A94" w:rsidP="0001014F">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1014F" w14:paraId="4E076C5C" w14:textId="77777777" w:rsidTr="00023F99">
        <w:trPr>
          <w:trHeight w:val="350"/>
        </w:trPr>
        <w:tc>
          <w:tcPr>
            <w:tcW w:w="10440" w:type="dxa"/>
            <w:tcBorders>
              <w:bottom w:val="single" w:sz="4" w:space="0" w:color="auto"/>
            </w:tcBorders>
            <w:shd w:val="clear" w:color="auto" w:fill="FFFFFF"/>
            <w:vAlign w:val="center"/>
          </w:tcPr>
          <w:p w14:paraId="122C7168" w14:textId="0D8C2306" w:rsidR="0001014F" w:rsidRDefault="0001014F" w:rsidP="00023F99">
            <w:pPr>
              <w:pStyle w:val="Header"/>
              <w:jc w:val="center"/>
            </w:pPr>
            <w:r>
              <w:t>Comments</w:t>
            </w:r>
          </w:p>
        </w:tc>
      </w:tr>
    </w:tbl>
    <w:p w14:paraId="65061B08" w14:textId="17408E93" w:rsidR="00882279" w:rsidRPr="00882279" w:rsidRDefault="00882279" w:rsidP="00882279">
      <w:pPr>
        <w:pStyle w:val="NormalArial"/>
        <w:spacing w:before="120" w:after="120"/>
        <w:rPr>
          <w:i/>
          <w:iCs/>
        </w:rPr>
      </w:pPr>
      <w:r w:rsidRPr="00882279">
        <w:rPr>
          <w:i/>
          <w:iCs/>
        </w:rPr>
        <w:t xml:space="preserve">The Texas Blockchain Council respectfully submits that ERCOT lacks statutory authority under Texas law to impose Large Load Ride-Through requirements on retail load customers through </w:t>
      </w:r>
      <w:r>
        <w:rPr>
          <w:i/>
          <w:iCs/>
        </w:rPr>
        <w:t>Nodal Operating Guide Revision Request (</w:t>
      </w:r>
      <w:r w:rsidRPr="00882279">
        <w:rPr>
          <w:i/>
          <w:iCs/>
        </w:rPr>
        <w:t>NOGRR</w:t>
      </w:r>
      <w:r>
        <w:rPr>
          <w:i/>
          <w:iCs/>
        </w:rPr>
        <w:t>)</w:t>
      </w:r>
      <w:r w:rsidRPr="00882279">
        <w:rPr>
          <w:i/>
          <w:iCs/>
        </w:rPr>
        <w:t xml:space="preserve"> 282. </w:t>
      </w:r>
    </w:p>
    <w:p w14:paraId="3647FBF7" w14:textId="77777777" w:rsidR="00882279" w:rsidRPr="00882279" w:rsidRDefault="00882279" w:rsidP="00882279">
      <w:pPr>
        <w:pStyle w:val="NormalArial"/>
        <w:spacing w:before="120" w:after="120"/>
        <w:rPr>
          <w:b/>
          <w:bCs/>
        </w:rPr>
      </w:pPr>
      <w:r w:rsidRPr="00882279">
        <w:rPr>
          <w:b/>
          <w:bCs/>
        </w:rPr>
        <w:t>I. The Statutory Exclusion of Retail Customers</w:t>
      </w:r>
    </w:p>
    <w:p w14:paraId="002C7531" w14:textId="029A0874" w:rsidR="002255C7" w:rsidRDefault="00882279" w:rsidP="00882279">
      <w:pPr>
        <w:pStyle w:val="NormalArial"/>
        <w:spacing w:before="120" w:after="120"/>
      </w:pPr>
      <w:r w:rsidRPr="00882279">
        <w:t>PURA §39.151(j) clearly defines the scope of ERCOT’s compliance authority. It requires compliance with ERCOT protocols only by a specific list of market participants:</w:t>
      </w:r>
    </w:p>
    <w:p w14:paraId="2F28CA43" w14:textId="77777777" w:rsidR="00882279" w:rsidRDefault="00882279" w:rsidP="00882279">
      <w:pPr>
        <w:pStyle w:val="NormalArial"/>
        <w:spacing w:before="60" w:after="60"/>
        <w:ind w:left="1440" w:hanging="720"/>
      </w:pPr>
      <w:r>
        <w:t>•</w:t>
      </w:r>
      <w:r>
        <w:tab/>
        <w:t>Retail electric providers (REPs)</w:t>
      </w:r>
    </w:p>
    <w:p w14:paraId="488DE167" w14:textId="35E862F3" w:rsidR="00882279" w:rsidRDefault="00882279" w:rsidP="00882279">
      <w:pPr>
        <w:pStyle w:val="NormalArial"/>
        <w:spacing w:before="60" w:after="60"/>
        <w:ind w:left="1440" w:hanging="720"/>
      </w:pPr>
      <w:r>
        <w:t>•</w:t>
      </w:r>
      <w:r>
        <w:tab/>
        <w:t>Municipally owned utilities (MOUs)</w:t>
      </w:r>
    </w:p>
    <w:p w14:paraId="060CF913" w14:textId="77777777" w:rsidR="00882279" w:rsidRDefault="00882279" w:rsidP="00882279">
      <w:pPr>
        <w:pStyle w:val="NormalArial"/>
        <w:spacing w:before="60" w:after="60"/>
        <w:ind w:left="1440" w:hanging="720"/>
      </w:pPr>
      <w:r>
        <w:t>•</w:t>
      </w:r>
      <w:r>
        <w:tab/>
        <w:t>Electric cooperatives</w:t>
      </w:r>
    </w:p>
    <w:p w14:paraId="3ABBFA69" w14:textId="77777777" w:rsidR="00882279" w:rsidRDefault="00882279" w:rsidP="00882279">
      <w:pPr>
        <w:pStyle w:val="NormalArial"/>
        <w:spacing w:before="60" w:after="60"/>
        <w:ind w:left="1440" w:hanging="720"/>
      </w:pPr>
      <w:r>
        <w:t>•</w:t>
      </w:r>
      <w:r>
        <w:tab/>
        <w:t>Power marketers</w:t>
      </w:r>
    </w:p>
    <w:p w14:paraId="588263F0" w14:textId="77777777" w:rsidR="00882279" w:rsidRDefault="00882279" w:rsidP="00882279">
      <w:pPr>
        <w:pStyle w:val="NormalArial"/>
        <w:spacing w:before="60" w:after="60"/>
        <w:ind w:left="1440" w:hanging="720"/>
      </w:pPr>
      <w:r>
        <w:t>•</w:t>
      </w:r>
      <w:r>
        <w:tab/>
        <w:t>Transmission and distribution utilities (TDSPs)</w:t>
      </w:r>
    </w:p>
    <w:p w14:paraId="7B9451E8" w14:textId="1D40C734" w:rsidR="00882279" w:rsidRPr="00882279" w:rsidRDefault="00882279" w:rsidP="00882279">
      <w:pPr>
        <w:pStyle w:val="NormalArial"/>
        <w:spacing w:before="60" w:after="60"/>
        <w:ind w:left="1440" w:hanging="720"/>
      </w:pPr>
      <w:r>
        <w:t>•</w:t>
      </w:r>
      <w:r>
        <w:tab/>
        <w:t>Power generation companies (PGCs)</w:t>
      </w:r>
    </w:p>
    <w:p w14:paraId="01C35BD6" w14:textId="7AAEA935" w:rsidR="00882279" w:rsidRPr="00882279" w:rsidRDefault="00882279" w:rsidP="002255C7">
      <w:pPr>
        <w:pStyle w:val="NormalArial"/>
        <w:spacing w:before="120" w:after="120"/>
      </w:pPr>
      <w:r w:rsidRPr="00882279">
        <w:t>Retail customers are notably absent from this list. Under the established principle of statutory construction, the legislative decision to enumerate these specific entities confirms that those omitted, namely, retail end-users, are not subject to ERCOT’s direct regulatory or enforcement authority.</w:t>
      </w:r>
    </w:p>
    <w:p w14:paraId="7856B87D" w14:textId="77777777" w:rsidR="00882279" w:rsidRPr="00882279" w:rsidRDefault="00882279" w:rsidP="00882279">
      <w:pPr>
        <w:pStyle w:val="NormalArial"/>
        <w:spacing w:before="120" w:after="120"/>
        <w:rPr>
          <w:b/>
          <w:bCs/>
        </w:rPr>
      </w:pPr>
      <w:r w:rsidRPr="00882279">
        <w:rPr>
          <w:b/>
          <w:bCs/>
        </w:rPr>
        <w:t>II. The Ultra Vires Nature of Direct Load Regulation</w:t>
      </w:r>
    </w:p>
    <w:p w14:paraId="31F09D6E" w14:textId="77777777" w:rsidR="00882279" w:rsidRDefault="00882279" w:rsidP="00882279">
      <w:pPr>
        <w:pStyle w:val="NormalArial"/>
        <w:spacing w:before="120" w:after="120"/>
      </w:pPr>
      <w:r>
        <w:t xml:space="preserve">ERCOT’s compliance framework operates through registered market participants not end-use customers. Attempting to bypass this structure to impose technical hardware mandates directly on downstream retail load, especially as a condition of continued energization, constitutes an ultra vires action. </w:t>
      </w:r>
    </w:p>
    <w:p w14:paraId="76D44EEA" w14:textId="1F97A60E" w:rsidR="00882279" w:rsidRDefault="00882279" w:rsidP="00882279">
      <w:pPr>
        <w:pStyle w:val="NormalArial"/>
        <w:spacing w:before="120" w:after="120"/>
      </w:pPr>
      <w:r>
        <w:lastRenderedPageBreak/>
        <w:t xml:space="preserve">This overreach is compounded by the practical and technical infeasibility of the proposed mandate. NOGRR282 seeks to impose voltage and frequency ride-through requirements on classes of power-electronics-based load that are not designed, manufactured, or commercially available to meet ERCOT’s specified performance standards. Compliance would require redesign or replacement of existing infrastructure, not operational adjustment. Agencies may not impose requirements that are impossible to satisfy or that effectively force market exit without clear legislative authorization. </w:t>
      </w:r>
    </w:p>
    <w:p w14:paraId="49E44B90" w14:textId="77777777" w:rsidR="00882279" w:rsidRDefault="00882279" w:rsidP="00882279">
      <w:pPr>
        <w:pStyle w:val="NormalArial"/>
        <w:spacing w:before="120" w:after="120"/>
      </w:pPr>
      <w:r>
        <w:t xml:space="preserve">Interpreting ERCOT’s general reliability mandate as a "blank check" to impose such untenable burdens would lead to absurd results, granting ERCOT open-ended jurisdiction over all private electricity consumption in Texas, potentially including, as discussed in a recent hearing, Texas consumer’s home HVAC systems! While ERCOT suggested that they saw no need to regulate consumer’s use of air conditioning, “at this time” we don’t believe ERCOT does or ever should have this capability.  </w:t>
      </w:r>
    </w:p>
    <w:p w14:paraId="5633A429" w14:textId="77777777" w:rsidR="00882279" w:rsidRPr="00882279" w:rsidRDefault="00882279" w:rsidP="00882279">
      <w:pPr>
        <w:pStyle w:val="NormalArial"/>
        <w:spacing w:before="120" w:after="120"/>
        <w:rPr>
          <w:b/>
          <w:bCs/>
        </w:rPr>
      </w:pPr>
      <w:r w:rsidRPr="00882279">
        <w:rPr>
          <w:b/>
          <w:bCs/>
        </w:rPr>
        <w:t>III. Retroactive Application and Lack of Fair Notice</w:t>
      </w:r>
    </w:p>
    <w:p w14:paraId="162D925D" w14:textId="77777777" w:rsidR="00882279" w:rsidRDefault="00882279" w:rsidP="00882279">
      <w:pPr>
        <w:pStyle w:val="NormalArial"/>
        <w:spacing w:before="120" w:after="120"/>
      </w:pPr>
      <w:r>
        <w:t xml:space="preserve">Texas law strongly disfavors retroactive rule-making that imposes new burdens on completed investments without clear legislative authorization. Imposing new technical requirements after </w:t>
      </w:r>
      <w:proofErr w:type="gramStart"/>
      <w:r>
        <w:t>the</w:t>
      </w:r>
      <w:proofErr w:type="gramEnd"/>
      <w:r>
        <w:t xml:space="preserve"> fact, particularly where compliance requires material redesign or replacement, undermines fundamental principles of due process, reliance, and regulatory certainty. </w:t>
      </w:r>
    </w:p>
    <w:p w14:paraId="6D54A89D" w14:textId="77777777" w:rsidR="00882279" w:rsidRPr="00882279" w:rsidRDefault="00882279" w:rsidP="00882279">
      <w:pPr>
        <w:pStyle w:val="NormalArial"/>
        <w:spacing w:before="120" w:after="120"/>
        <w:rPr>
          <w:b/>
          <w:bCs/>
        </w:rPr>
      </w:pPr>
      <w:r w:rsidRPr="00882279">
        <w:rPr>
          <w:b/>
          <w:bCs/>
        </w:rPr>
        <w:t>IV. Arbitrary Curtailment Authority Even Under Compliance</w:t>
      </w:r>
    </w:p>
    <w:p w14:paraId="63D57D07" w14:textId="555456ED" w:rsidR="00882279" w:rsidRDefault="00882279" w:rsidP="00882279">
      <w:pPr>
        <w:pStyle w:val="NormalArial"/>
        <w:spacing w:before="120" w:after="120"/>
      </w:pPr>
      <w:r>
        <w:t xml:space="preserve">Just as concerning, NOGRR282 appears to assert that ERCOT may curtail load regardless of whether the affected customer complies – or is even required to comply pursuant to the proposed retroactive effective date – with the proposed ride-through requirements. Such an approach is inconsistent with PURA’s structure, which contemplates defined reliability tools and clearly bounded authority, not open-ended discretion over retail load operations.  </w:t>
      </w:r>
    </w:p>
    <w:p w14:paraId="102A6843" w14:textId="77777777" w:rsidR="00882279" w:rsidRPr="00882279" w:rsidRDefault="00882279" w:rsidP="00882279">
      <w:pPr>
        <w:pStyle w:val="NormalArial"/>
        <w:spacing w:before="120" w:after="120"/>
        <w:rPr>
          <w:b/>
          <w:bCs/>
        </w:rPr>
      </w:pPr>
      <w:r w:rsidRPr="00882279">
        <w:rPr>
          <w:b/>
          <w:bCs/>
        </w:rPr>
        <w:t xml:space="preserve">Conclusion </w:t>
      </w:r>
    </w:p>
    <w:p w14:paraId="56B0E618" w14:textId="45EE8956" w:rsidR="00882279" w:rsidRDefault="00882279" w:rsidP="00882279">
      <w:pPr>
        <w:pStyle w:val="NormalArial"/>
        <w:spacing w:before="120" w:after="120"/>
      </w:pPr>
      <w:r>
        <w:t xml:space="preserve">Any attempt to impose ride-through requirements directly on retail load customers exceeds ERCOT’s statutory authority and is vulnerable to legal challenge.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5032D" w14:paraId="7997F37A" w14:textId="77777777" w:rsidTr="004D37D7">
        <w:trPr>
          <w:trHeight w:val="350"/>
        </w:trPr>
        <w:tc>
          <w:tcPr>
            <w:tcW w:w="10440" w:type="dxa"/>
            <w:tcBorders>
              <w:bottom w:val="single" w:sz="4" w:space="0" w:color="auto"/>
            </w:tcBorders>
            <w:shd w:val="clear" w:color="auto" w:fill="FFFFFF"/>
            <w:vAlign w:val="center"/>
          </w:tcPr>
          <w:p w14:paraId="5AEAB7BF" w14:textId="77777777" w:rsidR="0055032D" w:rsidRDefault="0055032D" w:rsidP="0001014F">
            <w:pPr>
              <w:pStyle w:val="Header"/>
              <w:jc w:val="center"/>
            </w:pPr>
            <w:r>
              <w:t>Revised Cover Page Language</w:t>
            </w:r>
          </w:p>
        </w:tc>
      </w:tr>
    </w:tbl>
    <w:p w14:paraId="61FFA01E" w14:textId="5ECE0268" w:rsidR="00152993" w:rsidRDefault="0001014F" w:rsidP="0001014F">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12710D43" w14:textId="77777777">
        <w:trPr>
          <w:trHeight w:val="350"/>
        </w:trPr>
        <w:tc>
          <w:tcPr>
            <w:tcW w:w="10440" w:type="dxa"/>
            <w:tcBorders>
              <w:bottom w:val="single" w:sz="4" w:space="0" w:color="auto"/>
            </w:tcBorders>
            <w:shd w:val="clear" w:color="auto" w:fill="FFFFFF"/>
            <w:vAlign w:val="center"/>
          </w:tcPr>
          <w:p w14:paraId="26AE9403" w14:textId="77777777" w:rsidR="00152993" w:rsidRDefault="00152993" w:rsidP="0001014F">
            <w:pPr>
              <w:pStyle w:val="Header"/>
              <w:jc w:val="center"/>
            </w:pPr>
            <w:r>
              <w:t xml:space="preserve">Revised Proposed </w:t>
            </w:r>
            <w:r w:rsidR="00C158EE">
              <w:t xml:space="preserve">Guide </w:t>
            </w:r>
            <w:r>
              <w:t>Language</w:t>
            </w:r>
          </w:p>
        </w:tc>
      </w:tr>
    </w:tbl>
    <w:p w14:paraId="76324918" w14:textId="65BB98FD" w:rsidR="00152993" w:rsidRDefault="0001014F" w:rsidP="0001014F">
      <w:pPr>
        <w:pStyle w:val="NormalArial"/>
        <w:spacing w:before="120" w:after="120"/>
      </w:pPr>
      <w:r>
        <w:t>None</w:t>
      </w:r>
    </w:p>
    <w:sectPr w:rsidR="00152993" w:rsidSect="0074209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C403C" w14:textId="77777777" w:rsidR="00F20E08" w:rsidRDefault="00F20E08">
      <w:r>
        <w:separator/>
      </w:r>
    </w:p>
  </w:endnote>
  <w:endnote w:type="continuationSeparator" w:id="0">
    <w:p w14:paraId="7CE5861D" w14:textId="77777777" w:rsidR="00F20E08" w:rsidRDefault="00F2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AD93" w14:textId="3B945D20" w:rsidR="003D0994" w:rsidRDefault="007F4D61"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882279">
      <w:rPr>
        <w:rFonts w:ascii="Arial" w:hAnsi="Arial"/>
        <w:noProof/>
        <w:sz w:val="18"/>
      </w:rPr>
      <w:t>282NOGRR-20 Texas Blockchain Council Comments 040126</w:t>
    </w:r>
    <w:r>
      <w:rPr>
        <w:rFonts w:ascii="Arial" w:hAnsi="Arial"/>
        <w:sz w:val="18"/>
      </w:rPr>
      <w:fldChar w:fldCharType="end"/>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p>
  <w:p w14:paraId="7B9DABB4"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8AC4C" w14:textId="77777777" w:rsidR="00F20E08" w:rsidRDefault="00F20E08">
      <w:r>
        <w:separator/>
      </w:r>
    </w:p>
  </w:footnote>
  <w:footnote w:type="continuationSeparator" w:id="0">
    <w:p w14:paraId="35C8B3A8" w14:textId="77777777" w:rsidR="00F20E08" w:rsidRDefault="00F20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7BC8" w14:textId="77777777" w:rsidR="003D0994" w:rsidRDefault="00D825C5">
    <w:pPr>
      <w:pStyle w:val="Header"/>
      <w:jc w:val="center"/>
      <w:rPr>
        <w:sz w:val="32"/>
      </w:rPr>
    </w:pPr>
    <w:r>
      <w:rPr>
        <w:sz w:val="32"/>
      </w:rPr>
      <w:t>NOG</w:t>
    </w:r>
    <w:r w:rsidR="00C158EE">
      <w:rPr>
        <w:sz w:val="32"/>
      </w:rPr>
      <w:t xml:space="preserve">RR </w:t>
    </w:r>
    <w:r w:rsidR="003D0994">
      <w:rPr>
        <w:sz w:val="32"/>
      </w:rPr>
      <w:t>Comments</w:t>
    </w:r>
  </w:p>
  <w:p w14:paraId="013A5FEE"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4D49DA"/>
    <w:multiLevelType w:val="hybridMultilevel"/>
    <w:tmpl w:val="8EB07AF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3362D65"/>
    <w:multiLevelType w:val="hybridMultilevel"/>
    <w:tmpl w:val="5EBCDC00"/>
    <w:lvl w:ilvl="0" w:tplc="9B2C7B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4B0ACB"/>
    <w:multiLevelType w:val="hybridMultilevel"/>
    <w:tmpl w:val="8594EE0E"/>
    <w:lvl w:ilvl="0" w:tplc="D93421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41684397">
    <w:abstractNumId w:val="0"/>
  </w:num>
  <w:num w:numId="2" w16cid:durableId="1780638007">
    <w:abstractNumId w:val="4"/>
  </w:num>
  <w:num w:numId="3" w16cid:durableId="1520122601">
    <w:abstractNumId w:val="2"/>
  </w:num>
  <w:num w:numId="4" w16cid:durableId="2057701478">
    <w:abstractNumId w:val="3"/>
  </w:num>
  <w:num w:numId="5" w16cid:durableId="1996882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7226"/>
    <w:rsid w:val="0001014F"/>
    <w:rsid w:val="00012122"/>
    <w:rsid w:val="00024ADD"/>
    <w:rsid w:val="00037668"/>
    <w:rsid w:val="00064404"/>
    <w:rsid w:val="000755EF"/>
    <w:rsid w:val="00075A94"/>
    <w:rsid w:val="0008535A"/>
    <w:rsid w:val="000A0EF3"/>
    <w:rsid w:val="000A18AC"/>
    <w:rsid w:val="00132855"/>
    <w:rsid w:val="00152993"/>
    <w:rsid w:val="001607BA"/>
    <w:rsid w:val="00170297"/>
    <w:rsid w:val="001712D5"/>
    <w:rsid w:val="0017289E"/>
    <w:rsid w:val="001A227D"/>
    <w:rsid w:val="001E2032"/>
    <w:rsid w:val="001F538A"/>
    <w:rsid w:val="002113D2"/>
    <w:rsid w:val="00222B65"/>
    <w:rsid w:val="002255C7"/>
    <w:rsid w:val="00237F13"/>
    <w:rsid w:val="002771E6"/>
    <w:rsid w:val="002A580B"/>
    <w:rsid w:val="002B5675"/>
    <w:rsid w:val="002C4117"/>
    <w:rsid w:val="002D7F63"/>
    <w:rsid w:val="002E33D1"/>
    <w:rsid w:val="003010C0"/>
    <w:rsid w:val="00303BCA"/>
    <w:rsid w:val="003118D3"/>
    <w:rsid w:val="00332A97"/>
    <w:rsid w:val="00333159"/>
    <w:rsid w:val="0034508D"/>
    <w:rsid w:val="00350C00"/>
    <w:rsid w:val="00366113"/>
    <w:rsid w:val="0037269B"/>
    <w:rsid w:val="00394562"/>
    <w:rsid w:val="003A1425"/>
    <w:rsid w:val="003C270C"/>
    <w:rsid w:val="003C3624"/>
    <w:rsid w:val="003C405A"/>
    <w:rsid w:val="003D0994"/>
    <w:rsid w:val="003D5976"/>
    <w:rsid w:val="003E1B0C"/>
    <w:rsid w:val="003E7D74"/>
    <w:rsid w:val="00423824"/>
    <w:rsid w:val="00424B1F"/>
    <w:rsid w:val="0042526C"/>
    <w:rsid w:val="00425AB4"/>
    <w:rsid w:val="00432024"/>
    <w:rsid w:val="0043528C"/>
    <w:rsid w:val="0043567D"/>
    <w:rsid w:val="0045330C"/>
    <w:rsid w:val="004B7B90"/>
    <w:rsid w:val="004D37D7"/>
    <w:rsid w:val="004E2C19"/>
    <w:rsid w:val="004E7A17"/>
    <w:rsid w:val="00506C33"/>
    <w:rsid w:val="0055024D"/>
    <w:rsid w:val="0055032D"/>
    <w:rsid w:val="00555A8F"/>
    <w:rsid w:val="00572805"/>
    <w:rsid w:val="00582695"/>
    <w:rsid w:val="00583CC3"/>
    <w:rsid w:val="00586769"/>
    <w:rsid w:val="005C1FBB"/>
    <w:rsid w:val="005D284C"/>
    <w:rsid w:val="005F212E"/>
    <w:rsid w:val="00606DB6"/>
    <w:rsid w:val="00623BC1"/>
    <w:rsid w:val="00630875"/>
    <w:rsid w:val="00633E23"/>
    <w:rsid w:val="00661689"/>
    <w:rsid w:val="00671AC1"/>
    <w:rsid w:val="00673B94"/>
    <w:rsid w:val="00680AC6"/>
    <w:rsid w:val="006835D8"/>
    <w:rsid w:val="00696931"/>
    <w:rsid w:val="006A33E6"/>
    <w:rsid w:val="006B70A7"/>
    <w:rsid w:val="006C316E"/>
    <w:rsid w:val="006C6928"/>
    <w:rsid w:val="006D0F7C"/>
    <w:rsid w:val="007269C4"/>
    <w:rsid w:val="0073403E"/>
    <w:rsid w:val="00734EAF"/>
    <w:rsid w:val="00734F9C"/>
    <w:rsid w:val="0074209E"/>
    <w:rsid w:val="0074263A"/>
    <w:rsid w:val="00746CE5"/>
    <w:rsid w:val="00761354"/>
    <w:rsid w:val="0077071B"/>
    <w:rsid w:val="007A3559"/>
    <w:rsid w:val="007A4657"/>
    <w:rsid w:val="007A7A85"/>
    <w:rsid w:val="007B045B"/>
    <w:rsid w:val="007B723C"/>
    <w:rsid w:val="007E2356"/>
    <w:rsid w:val="007F2CA8"/>
    <w:rsid w:val="007F4D61"/>
    <w:rsid w:val="007F7161"/>
    <w:rsid w:val="00846387"/>
    <w:rsid w:val="0085559E"/>
    <w:rsid w:val="00882279"/>
    <w:rsid w:val="00893271"/>
    <w:rsid w:val="00896B1B"/>
    <w:rsid w:val="008A6E38"/>
    <w:rsid w:val="008C36C1"/>
    <w:rsid w:val="008D303C"/>
    <w:rsid w:val="008E559E"/>
    <w:rsid w:val="008F7112"/>
    <w:rsid w:val="00900B99"/>
    <w:rsid w:val="00901786"/>
    <w:rsid w:val="00916080"/>
    <w:rsid w:val="00921A68"/>
    <w:rsid w:val="00933D35"/>
    <w:rsid w:val="00960706"/>
    <w:rsid w:val="009848D5"/>
    <w:rsid w:val="00991D37"/>
    <w:rsid w:val="009946E3"/>
    <w:rsid w:val="009C5D3A"/>
    <w:rsid w:val="009E2278"/>
    <w:rsid w:val="00A015C4"/>
    <w:rsid w:val="00A07D79"/>
    <w:rsid w:val="00A122D8"/>
    <w:rsid w:val="00A127CB"/>
    <w:rsid w:val="00A15172"/>
    <w:rsid w:val="00A159A3"/>
    <w:rsid w:val="00A33E81"/>
    <w:rsid w:val="00AB061F"/>
    <w:rsid w:val="00AF3A5D"/>
    <w:rsid w:val="00AF538D"/>
    <w:rsid w:val="00AF5A60"/>
    <w:rsid w:val="00B22FE5"/>
    <w:rsid w:val="00B32E8B"/>
    <w:rsid w:val="00B65EEE"/>
    <w:rsid w:val="00B8649F"/>
    <w:rsid w:val="00B914F7"/>
    <w:rsid w:val="00BA5F1C"/>
    <w:rsid w:val="00BD3B30"/>
    <w:rsid w:val="00BF39AD"/>
    <w:rsid w:val="00BF64BC"/>
    <w:rsid w:val="00C0598D"/>
    <w:rsid w:val="00C103B7"/>
    <w:rsid w:val="00C11956"/>
    <w:rsid w:val="00C158EE"/>
    <w:rsid w:val="00C21754"/>
    <w:rsid w:val="00C27D5A"/>
    <w:rsid w:val="00C602E5"/>
    <w:rsid w:val="00C748FD"/>
    <w:rsid w:val="00C85731"/>
    <w:rsid w:val="00CA42E8"/>
    <w:rsid w:val="00CA4EAB"/>
    <w:rsid w:val="00CC30AF"/>
    <w:rsid w:val="00D249D2"/>
    <w:rsid w:val="00D24DCF"/>
    <w:rsid w:val="00D4046E"/>
    <w:rsid w:val="00D46D91"/>
    <w:rsid w:val="00D50F86"/>
    <w:rsid w:val="00D64B20"/>
    <w:rsid w:val="00D825C5"/>
    <w:rsid w:val="00D87905"/>
    <w:rsid w:val="00DB2429"/>
    <w:rsid w:val="00DC19DD"/>
    <w:rsid w:val="00DC2CAB"/>
    <w:rsid w:val="00DC5C2B"/>
    <w:rsid w:val="00DD1F9D"/>
    <w:rsid w:val="00DD4739"/>
    <w:rsid w:val="00DE5F33"/>
    <w:rsid w:val="00E07B54"/>
    <w:rsid w:val="00E11F78"/>
    <w:rsid w:val="00E21D20"/>
    <w:rsid w:val="00E40740"/>
    <w:rsid w:val="00E60A10"/>
    <w:rsid w:val="00E621E1"/>
    <w:rsid w:val="00E70398"/>
    <w:rsid w:val="00E80E21"/>
    <w:rsid w:val="00E84260"/>
    <w:rsid w:val="00EC55B3"/>
    <w:rsid w:val="00EF7548"/>
    <w:rsid w:val="00F20E08"/>
    <w:rsid w:val="00F227C4"/>
    <w:rsid w:val="00F229D8"/>
    <w:rsid w:val="00F40808"/>
    <w:rsid w:val="00F8578B"/>
    <w:rsid w:val="00F96FB2"/>
    <w:rsid w:val="00FB51D8"/>
    <w:rsid w:val="00FC624A"/>
    <w:rsid w:val="00FD08E8"/>
    <w:rsid w:val="00FE4526"/>
    <w:rsid w:val="00FE5B3D"/>
    <w:rsid w:val="028E08AE"/>
    <w:rsid w:val="05D528C7"/>
    <w:rsid w:val="06F07D4F"/>
    <w:rsid w:val="08247F36"/>
    <w:rsid w:val="08DB2BA0"/>
    <w:rsid w:val="0E6CDE64"/>
    <w:rsid w:val="13734001"/>
    <w:rsid w:val="17231501"/>
    <w:rsid w:val="182EFABA"/>
    <w:rsid w:val="1994B180"/>
    <w:rsid w:val="19BA461B"/>
    <w:rsid w:val="19C3F3AC"/>
    <w:rsid w:val="1D23C0C2"/>
    <w:rsid w:val="1E354220"/>
    <w:rsid w:val="1F550718"/>
    <w:rsid w:val="1F9C97A8"/>
    <w:rsid w:val="22A81AD3"/>
    <w:rsid w:val="26B03A2C"/>
    <w:rsid w:val="27BE6D12"/>
    <w:rsid w:val="295C7D55"/>
    <w:rsid w:val="2AD52350"/>
    <w:rsid w:val="2C04E300"/>
    <w:rsid w:val="2D6A5D56"/>
    <w:rsid w:val="2E2A2074"/>
    <w:rsid w:val="304F0DB5"/>
    <w:rsid w:val="3193B984"/>
    <w:rsid w:val="32175AA0"/>
    <w:rsid w:val="33635EE2"/>
    <w:rsid w:val="33BC01F0"/>
    <w:rsid w:val="35B8783A"/>
    <w:rsid w:val="398D7F11"/>
    <w:rsid w:val="3A0348A1"/>
    <w:rsid w:val="3AD27AAE"/>
    <w:rsid w:val="3FD32EB2"/>
    <w:rsid w:val="41962564"/>
    <w:rsid w:val="4273AF9B"/>
    <w:rsid w:val="44CB41A3"/>
    <w:rsid w:val="478EBAE3"/>
    <w:rsid w:val="47A8B633"/>
    <w:rsid w:val="4ABD7F9D"/>
    <w:rsid w:val="4D714290"/>
    <w:rsid w:val="50599908"/>
    <w:rsid w:val="539E519D"/>
    <w:rsid w:val="55115A61"/>
    <w:rsid w:val="5D176DEA"/>
    <w:rsid w:val="5D9035AF"/>
    <w:rsid w:val="5E477C33"/>
    <w:rsid w:val="5E83EC17"/>
    <w:rsid w:val="5E86E3A9"/>
    <w:rsid w:val="5F091C7E"/>
    <w:rsid w:val="616509ED"/>
    <w:rsid w:val="620A8266"/>
    <w:rsid w:val="634ABC11"/>
    <w:rsid w:val="66DA849A"/>
    <w:rsid w:val="688D6999"/>
    <w:rsid w:val="6C1EC2A3"/>
    <w:rsid w:val="71D72EAC"/>
    <w:rsid w:val="720A25CE"/>
    <w:rsid w:val="74431EF7"/>
    <w:rsid w:val="751C2782"/>
    <w:rsid w:val="7ABEA244"/>
    <w:rsid w:val="7AFE8B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7F7AD"/>
  <w15:chartTrackingRefBased/>
  <w15:docId w15:val="{4B2035C2-F747-441E-AACB-3F918104D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Strong">
    <w:name w:val="Strong"/>
    <w:uiPriority w:val="22"/>
    <w:qFormat/>
    <w:rsid w:val="00583CC3"/>
    <w:rPr>
      <w:b/>
      <w:bCs/>
    </w:rPr>
  </w:style>
  <w:style w:type="paragraph" w:styleId="FootnoteText">
    <w:name w:val="footnote text"/>
    <w:basedOn w:val="Normal"/>
    <w:link w:val="FootnoteTextChar"/>
    <w:rsid w:val="00B22FE5"/>
    <w:rPr>
      <w:sz w:val="20"/>
      <w:szCs w:val="20"/>
    </w:rPr>
  </w:style>
  <w:style w:type="character" w:customStyle="1" w:styleId="FootnoteTextChar">
    <w:name w:val="Footnote Text Char"/>
    <w:basedOn w:val="DefaultParagraphFont"/>
    <w:link w:val="FootnoteText"/>
    <w:rsid w:val="00B22FE5"/>
  </w:style>
  <w:style w:type="character" w:styleId="FootnoteReference">
    <w:name w:val="footnote reference"/>
    <w:basedOn w:val="DefaultParagraphFont"/>
    <w:rsid w:val="00B22FE5"/>
    <w:rPr>
      <w:vertAlign w:val="superscript"/>
    </w:rPr>
  </w:style>
  <w:style w:type="character" w:styleId="UnresolvedMention">
    <w:name w:val="Unresolved Mention"/>
    <w:basedOn w:val="DefaultParagraphFont"/>
    <w:uiPriority w:val="99"/>
    <w:semiHidden/>
    <w:unhideWhenUsed/>
    <w:rsid w:val="00BA5F1C"/>
    <w:rPr>
      <w:color w:val="605E5C"/>
      <w:shd w:val="clear" w:color="auto" w:fill="E1DFDD"/>
    </w:rPr>
  </w:style>
  <w:style w:type="paragraph" w:styleId="Revision">
    <w:name w:val="Revision"/>
    <w:hidden/>
    <w:uiPriority w:val="99"/>
    <w:semiHidden/>
    <w:rsid w:val="00B65EEE"/>
    <w:rPr>
      <w:sz w:val="24"/>
      <w:szCs w:val="24"/>
    </w:rPr>
  </w:style>
  <w:style w:type="paragraph" w:customStyle="1" w:styleId="Default">
    <w:name w:val="Default"/>
    <w:rsid w:val="002255C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ssi@texasblockchaincouncil.org" TargetMode="External"/><Relationship Id="rId3" Type="http://schemas.openxmlformats.org/officeDocument/2006/relationships/settings" Target="settings.xml"/><Relationship Id="rId7" Type="http://schemas.openxmlformats.org/officeDocument/2006/relationships/hyperlink" Target="https://www.ercot.com/mktrules/issues/NOGRR28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61971c6-1bf6-4203-a999-5711f27be5dd}" enabled="0" method="" siteId="{b61971c6-1bf6-4203-a999-5711f27be5dd}"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505</Words>
  <Characters>3455</Characters>
  <Application>Microsoft Office Word</Application>
  <DocSecurity>0</DocSecurity>
  <Lines>82</Lines>
  <Paragraphs>43</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ROS 040226</cp:lastModifiedBy>
  <cp:revision>3</cp:revision>
  <cp:lastPrinted>2001-06-20T18:28:00Z</cp:lastPrinted>
  <dcterms:created xsi:type="dcterms:W3CDTF">2026-04-01T22:53:00Z</dcterms:created>
  <dcterms:modified xsi:type="dcterms:W3CDTF">2026-04-01T22:58:00Z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2026-01-24T00:43:50Z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f4bf0b7f-adfb-40c5-95b8-c9c7cdfec9c8</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