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165"/>
        <w:gridCol w:w="1170"/>
        <w:gridCol w:w="6485"/>
      </w:tblGrid>
      <w:tr w:rsidR="00666B6B" w14:paraId="6345B4CD" w14:textId="77777777">
        <w:tc>
          <w:tcPr>
            <w:tcW w:w="1620" w:type="dxa"/>
            <w:tcBorders>
              <w:bottom w:val="single" w:sz="4" w:space="0" w:color="000000"/>
            </w:tcBorders>
            <w:shd w:val="clear" w:color="auto" w:fill="FFFFFF"/>
            <w:vAlign w:val="center"/>
          </w:tcPr>
          <w:p w14:paraId="496DD155" w14:textId="77777777" w:rsidR="00666B6B" w:rsidRDefault="008D6833">
            <w:pPr>
              <w:pBdr>
                <w:top w:val="nil"/>
                <w:left w:val="nil"/>
                <w:bottom w:val="nil"/>
                <w:right w:val="nil"/>
                <w:between w:val="nil"/>
              </w:pBdr>
              <w:tabs>
                <w:tab w:val="center" w:pos="4320"/>
                <w:tab w:val="right" w:pos="8640"/>
              </w:tabs>
              <w:rPr>
                <w:rFonts w:ascii="Verdana" w:eastAsia="Verdana" w:hAnsi="Verdana" w:cs="Verdana"/>
                <w:b/>
                <w:bCs/>
                <w:color w:val="000000"/>
                <w:sz w:val="22"/>
                <w:szCs w:val="22"/>
              </w:rPr>
            </w:pPr>
            <w:r>
              <w:rPr>
                <w:rFonts w:ascii="Arial" w:eastAsia="Arial" w:hAnsi="Arial" w:cs="Arial"/>
                <w:b/>
                <w:bCs/>
                <w:color w:val="000000"/>
              </w:rPr>
              <w:t>NOGRR Number</w:t>
            </w:r>
          </w:p>
        </w:tc>
        <w:tc>
          <w:tcPr>
            <w:tcW w:w="1165" w:type="dxa"/>
            <w:tcBorders>
              <w:bottom w:val="single" w:sz="4" w:space="0" w:color="000000"/>
            </w:tcBorders>
            <w:vAlign w:val="center"/>
          </w:tcPr>
          <w:p w14:paraId="1504934F"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hyperlink r:id="rId8">
              <w:r>
                <w:rPr>
                  <w:rFonts w:ascii="Arial" w:eastAsia="Arial" w:hAnsi="Arial" w:cs="Arial"/>
                  <w:b/>
                  <w:bCs/>
                  <w:color w:val="0000FF"/>
                  <w:u w:val="single"/>
                </w:rPr>
                <w:t>282</w:t>
              </w:r>
            </w:hyperlink>
          </w:p>
        </w:tc>
        <w:tc>
          <w:tcPr>
            <w:tcW w:w="1170" w:type="dxa"/>
            <w:tcBorders>
              <w:bottom w:val="single" w:sz="4" w:space="0" w:color="000000"/>
            </w:tcBorders>
            <w:shd w:val="clear" w:color="auto" w:fill="FFFFFF"/>
            <w:vAlign w:val="center"/>
          </w:tcPr>
          <w:p w14:paraId="6B93F79E"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NOGRR Title</w:t>
            </w:r>
          </w:p>
        </w:tc>
        <w:tc>
          <w:tcPr>
            <w:tcW w:w="6485" w:type="dxa"/>
            <w:tcBorders>
              <w:bottom w:val="single" w:sz="4" w:space="0" w:color="000000"/>
            </w:tcBorders>
            <w:vAlign w:val="center"/>
          </w:tcPr>
          <w:p w14:paraId="268F51E6"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rPr>
              <w:t>Board Priority - Large Electronic Load Ride-Through Requirements</w:t>
            </w:r>
          </w:p>
        </w:tc>
      </w:tr>
      <w:tr w:rsidR="00666B6B" w14:paraId="465FC19E" w14:textId="77777777">
        <w:trPr>
          <w:trHeight w:val="413"/>
        </w:trPr>
        <w:tc>
          <w:tcPr>
            <w:tcW w:w="2785" w:type="dxa"/>
            <w:gridSpan w:val="2"/>
            <w:tcBorders>
              <w:top w:val="nil"/>
              <w:left w:val="nil"/>
              <w:bottom w:val="single" w:sz="4" w:space="0" w:color="000000"/>
              <w:right w:val="nil"/>
            </w:tcBorders>
            <w:vAlign w:val="center"/>
          </w:tcPr>
          <w:p w14:paraId="04360AEC" w14:textId="77777777" w:rsidR="00666B6B" w:rsidRDefault="00666B6B">
            <w:pPr>
              <w:pBdr>
                <w:top w:val="nil"/>
                <w:left w:val="nil"/>
                <w:bottom w:val="nil"/>
                <w:right w:val="nil"/>
                <w:between w:val="nil"/>
              </w:pBdr>
              <w:rPr>
                <w:rFonts w:ascii="Arial" w:eastAsia="Arial" w:hAnsi="Arial" w:cs="Arial"/>
                <w:color w:val="000000"/>
              </w:rPr>
            </w:pPr>
          </w:p>
        </w:tc>
        <w:tc>
          <w:tcPr>
            <w:tcW w:w="7655" w:type="dxa"/>
            <w:gridSpan w:val="2"/>
            <w:tcBorders>
              <w:top w:val="single" w:sz="4" w:space="0" w:color="000000"/>
              <w:left w:val="nil"/>
              <w:bottom w:val="nil"/>
              <w:right w:val="nil"/>
            </w:tcBorders>
            <w:vAlign w:val="center"/>
          </w:tcPr>
          <w:p w14:paraId="284DA92C" w14:textId="77777777" w:rsidR="00666B6B" w:rsidRDefault="00666B6B">
            <w:pPr>
              <w:pBdr>
                <w:top w:val="nil"/>
                <w:left w:val="nil"/>
                <w:bottom w:val="nil"/>
                <w:right w:val="nil"/>
                <w:between w:val="nil"/>
              </w:pBdr>
              <w:rPr>
                <w:rFonts w:ascii="Arial" w:eastAsia="Arial" w:hAnsi="Arial" w:cs="Arial"/>
                <w:color w:val="000000"/>
              </w:rPr>
            </w:pPr>
          </w:p>
        </w:tc>
      </w:tr>
      <w:tr w:rsidR="00666B6B" w14:paraId="646D9C56" w14:textId="77777777">
        <w:trPr>
          <w:trHeight w:val="440"/>
        </w:trPr>
        <w:tc>
          <w:tcPr>
            <w:tcW w:w="2785" w:type="dxa"/>
            <w:gridSpan w:val="2"/>
            <w:tcBorders>
              <w:top w:val="single" w:sz="4" w:space="0" w:color="000000"/>
              <w:left w:val="single" w:sz="4" w:space="0" w:color="000000"/>
              <w:bottom w:val="single" w:sz="4" w:space="0" w:color="000000"/>
              <w:right w:val="single" w:sz="4" w:space="0" w:color="000000"/>
            </w:tcBorders>
            <w:vAlign w:val="center"/>
          </w:tcPr>
          <w:p w14:paraId="6293B2EC"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5743F07C" w14:textId="1B96DFA0" w:rsidR="00666B6B" w:rsidRDefault="008D6833">
            <w:pPr>
              <w:pBdr>
                <w:top w:val="nil"/>
                <w:left w:val="nil"/>
                <w:bottom w:val="nil"/>
                <w:right w:val="nil"/>
                <w:between w:val="nil"/>
              </w:pBdr>
              <w:rPr>
                <w:rFonts w:ascii="Arial" w:eastAsia="Arial" w:hAnsi="Arial" w:cs="Arial"/>
                <w:color w:val="000000"/>
              </w:rPr>
            </w:pPr>
            <w:r>
              <w:rPr>
                <w:rFonts w:ascii="Arial" w:eastAsia="Arial" w:hAnsi="Arial" w:cs="Arial"/>
              </w:rPr>
              <w:t xml:space="preserve">March </w:t>
            </w:r>
            <w:r w:rsidR="00B9074D">
              <w:rPr>
                <w:rFonts w:ascii="Arial" w:eastAsia="Arial" w:hAnsi="Arial" w:cs="Arial"/>
              </w:rPr>
              <w:t>31</w:t>
            </w:r>
            <w:r>
              <w:rPr>
                <w:rFonts w:ascii="Arial" w:eastAsia="Arial" w:hAnsi="Arial" w:cs="Arial"/>
              </w:rPr>
              <w:t>, 2026</w:t>
            </w:r>
          </w:p>
        </w:tc>
      </w:tr>
      <w:tr w:rsidR="00666B6B" w14:paraId="19690724" w14:textId="77777777">
        <w:trPr>
          <w:trHeight w:val="467"/>
        </w:trPr>
        <w:tc>
          <w:tcPr>
            <w:tcW w:w="2785" w:type="dxa"/>
            <w:gridSpan w:val="2"/>
            <w:tcBorders>
              <w:top w:val="single" w:sz="4" w:space="0" w:color="000000"/>
              <w:left w:val="nil"/>
              <w:bottom w:val="nil"/>
              <w:right w:val="nil"/>
            </w:tcBorders>
            <w:shd w:val="clear" w:color="auto" w:fill="FFFFFF"/>
            <w:vAlign w:val="center"/>
          </w:tcPr>
          <w:p w14:paraId="5C138088" w14:textId="77777777" w:rsidR="00666B6B" w:rsidRDefault="00666B6B">
            <w:pPr>
              <w:pBdr>
                <w:top w:val="nil"/>
                <w:left w:val="nil"/>
                <w:bottom w:val="nil"/>
                <w:right w:val="nil"/>
                <w:between w:val="nil"/>
              </w:pBdr>
              <w:rPr>
                <w:rFonts w:ascii="Arial" w:eastAsia="Arial" w:hAnsi="Arial" w:cs="Arial"/>
                <w:color w:val="000000"/>
              </w:rPr>
            </w:pPr>
          </w:p>
        </w:tc>
        <w:tc>
          <w:tcPr>
            <w:tcW w:w="7655" w:type="dxa"/>
            <w:gridSpan w:val="2"/>
            <w:tcBorders>
              <w:top w:val="nil"/>
              <w:left w:val="nil"/>
              <w:bottom w:val="nil"/>
              <w:right w:val="nil"/>
            </w:tcBorders>
            <w:vAlign w:val="center"/>
          </w:tcPr>
          <w:p w14:paraId="7336D3D2" w14:textId="77777777" w:rsidR="00666B6B" w:rsidRDefault="00666B6B">
            <w:pPr>
              <w:pBdr>
                <w:top w:val="nil"/>
                <w:left w:val="nil"/>
                <w:bottom w:val="nil"/>
                <w:right w:val="nil"/>
                <w:between w:val="nil"/>
              </w:pBdr>
              <w:rPr>
                <w:rFonts w:ascii="Arial" w:eastAsia="Arial" w:hAnsi="Arial" w:cs="Arial"/>
                <w:color w:val="000000"/>
              </w:rPr>
            </w:pPr>
          </w:p>
        </w:tc>
      </w:tr>
      <w:tr w:rsidR="00666B6B" w14:paraId="5B419E14" w14:textId="77777777">
        <w:trPr>
          <w:trHeight w:val="440"/>
        </w:trPr>
        <w:tc>
          <w:tcPr>
            <w:tcW w:w="10440" w:type="dxa"/>
            <w:gridSpan w:val="4"/>
            <w:tcBorders>
              <w:top w:val="single" w:sz="4" w:space="0" w:color="000000"/>
            </w:tcBorders>
            <w:shd w:val="clear" w:color="auto" w:fill="FFFFFF"/>
            <w:vAlign w:val="center"/>
          </w:tcPr>
          <w:p w14:paraId="6D43C0A0"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666B6B" w14:paraId="7C6E36BA" w14:textId="77777777">
        <w:trPr>
          <w:trHeight w:val="350"/>
        </w:trPr>
        <w:tc>
          <w:tcPr>
            <w:tcW w:w="2785" w:type="dxa"/>
            <w:gridSpan w:val="2"/>
            <w:shd w:val="clear" w:color="auto" w:fill="FFFFFF"/>
            <w:vAlign w:val="center"/>
          </w:tcPr>
          <w:p w14:paraId="7F5A4B17"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655" w:type="dxa"/>
            <w:gridSpan w:val="2"/>
            <w:vAlign w:val="center"/>
          </w:tcPr>
          <w:p w14:paraId="45FFABCA" w14:textId="77777777" w:rsidR="00666B6B" w:rsidRDefault="008D6833">
            <w:pPr>
              <w:pBdr>
                <w:top w:val="nil"/>
                <w:left w:val="nil"/>
                <w:bottom w:val="nil"/>
                <w:right w:val="nil"/>
                <w:between w:val="nil"/>
              </w:pBdr>
              <w:rPr>
                <w:rFonts w:ascii="Arial" w:eastAsia="Arial" w:hAnsi="Arial" w:cs="Arial"/>
              </w:rPr>
            </w:pPr>
            <w:r>
              <w:rPr>
                <w:rFonts w:ascii="Arial" w:eastAsia="Arial" w:hAnsi="Arial" w:cs="Arial"/>
              </w:rPr>
              <w:t>Chris Matos</w:t>
            </w:r>
          </w:p>
        </w:tc>
      </w:tr>
      <w:tr w:rsidR="00666B6B" w14:paraId="1022662E" w14:textId="77777777">
        <w:trPr>
          <w:trHeight w:val="350"/>
        </w:trPr>
        <w:tc>
          <w:tcPr>
            <w:tcW w:w="2785" w:type="dxa"/>
            <w:gridSpan w:val="2"/>
            <w:shd w:val="clear" w:color="auto" w:fill="FFFFFF"/>
            <w:vAlign w:val="center"/>
          </w:tcPr>
          <w:p w14:paraId="2B366F50"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655" w:type="dxa"/>
            <w:gridSpan w:val="2"/>
            <w:vAlign w:val="center"/>
          </w:tcPr>
          <w:p w14:paraId="62591FB6" w14:textId="1A4668AD" w:rsidR="00666B6B" w:rsidRDefault="00B9074D">
            <w:pPr>
              <w:pBdr>
                <w:top w:val="nil"/>
                <w:left w:val="nil"/>
                <w:bottom w:val="nil"/>
                <w:right w:val="nil"/>
                <w:between w:val="nil"/>
              </w:pBdr>
              <w:rPr>
                <w:rFonts w:ascii="Arial" w:eastAsia="Arial" w:hAnsi="Arial" w:cs="Arial"/>
                <w:color w:val="000000"/>
              </w:rPr>
            </w:pPr>
            <w:hyperlink r:id="rId9" w:history="1">
              <w:r w:rsidRPr="000D594C">
                <w:rPr>
                  <w:rStyle w:val="Hyperlink"/>
                  <w:rFonts w:ascii="Arial" w:eastAsia="Arial" w:hAnsi="Arial" w:cs="Arial"/>
                  <w:position w:val="0"/>
                </w:rPr>
                <w:t>chrismatos@google.com</w:t>
              </w:r>
            </w:hyperlink>
          </w:p>
        </w:tc>
      </w:tr>
      <w:tr w:rsidR="00666B6B" w14:paraId="1DE90B1B" w14:textId="77777777">
        <w:trPr>
          <w:trHeight w:val="350"/>
        </w:trPr>
        <w:tc>
          <w:tcPr>
            <w:tcW w:w="2785" w:type="dxa"/>
            <w:gridSpan w:val="2"/>
            <w:shd w:val="clear" w:color="auto" w:fill="FFFFFF"/>
            <w:vAlign w:val="center"/>
          </w:tcPr>
          <w:p w14:paraId="12B6BD1E"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655" w:type="dxa"/>
            <w:gridSpan w:val="2"/>
            <w:vAlign w:val="center"/>
          </w:tcPr>
          <w:p w14:paraId="0781E98A" w14:textId="77777777" w:rsidR="00666B6B" w:rsidRDefault="008D6833">
            <w:pPr>
              <w:pBdr>
                <w:top w:val="nil"/>
                <w:left w:val="nil"/>
                <w:bottom w:val="nil"/>
                <w:right w:val="nil"/>
                <w:between w:val="nil"/>
              </w:pBdr>
              <w:rPr>
                <w:rFonts w:ascii="Arial" w:eastAsia="Arial" w:hAnsi="Arial" w:cs="Arial"/>
                <w:color w:val="000000"/>
              </w:rPr>
            </w:pPr>
            <w:r>
              <w:rPr>
                <w:rFonts w:ascii="Arial" w:eastAsia="Arial" w:hAnsi="Arial" w:cs="Arial"/>
              </w:rPr>
              <w:t>Google LLC</w:t>
            </w:r>
          </w:p>
        </w:tc>
      </w:tr>
      <w:tr w:rsidR="00666B6B" w14:paraId="015B08D1" w14:textId="77777777">
        <w:trPr>
          <w:trHeight w:val="350"/>
        </w:trPr>
        <w:tc>
          <w:tcPr>
            <w:tcW w:w="2785" w:type="dxa"/>
            <w:gridSpan w:val="2"/>
            <w:tcBorders>
              <w:bottom w:val="single" w:sz="4" w:space="0" w:color="000000"/>
            </w:tcBorders>
            <w:shd w:val="clear" w:color="auto" w:fill="FFFFFF"/>
            <w:vAlign w:val="center"/>
          </w:tcPr>
          <w:p w14:paraId="105BD896"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655" w:type="dxa"/>
            <w:gridSpan w:val="2"/>
            <w:tcBorders>
              <w:bottom w:val="single" w:sz="4" w:space="0" w:color="000000"/>
            </w:tcBorders>
            <w:vAlign w:val="center"/>
          </w:tcPr>
          <w:p w14:paraId="2E90BACD" w14:textId="2CDE0D04" w:rsidR="00666B6B" w:rsidRDefault="00B9074D">
            <w:pPr>
              <w:pBdr>
                <w:top w:val="nil"/>
                <w:left w:val="nil"/>
                <w:bottom w:val="nil"/>
                <w:right w:val="nil"/>
                <w:between w:val="nil"/>
              </w:pBdr>
              <w:rPr>
                <w:rFonts w:ascii="Arial" w:eastAsia="Arial" w:hAnsi="Arial" w:cs="Arial"/>
                <w:color w:val="000000"/>
              </w:rPr>
            </w:pPr>
            <w:r w:rsidRPr="00B9074D">
              <w:rPr>
                <w:rFonts w:ascii="Arial" w:eastAsia="Arial" w:hAnsi="Arial" w:cs="Arial"/>
                <w:color w:val="000000"/>
              </w:rPr>
              <w:t>650-930-6764</w:t>
            </w:r>
          </w:p>
        </w:tc>
      </w:tr>
      <w:tr w:rsidR="00666B6B" w14:paraId="04DC8241" w14:textId="77777777">
        <w:trPr>
          <w:trHeight w:val="350"/>
        </w:trPr>
        <w:tc>
          <w:tcPr>
            <w:tcW w:w="2785" w:type="dxa"/>
            <w:gridSpan w:val="2"/>
            <w:shd w:val="clear" w:color="auto" w:fill="FFFFFF"/>
            <w:vAlign w:val="center"/>
          </w:tcPr>
          <w:p w14:paraId="1C6DF233"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655" w:type="dxa"/>
            <w:gridSpan w:val="2"/>
            <w:tcBorders>
              <w:bottom w:val="single" w:sz="4" w:space="0" w:color="000000"/>
            </w:tcBorders>
            <w:vAlign w:val="center"/>
          </w:tcPr>
          <w:p w14:paraId="40F151D0" w14:textId="77777777" w:rsidR="00666B6B" w:rsidRDefault="00666B6B">
            <w:pPr>
              <w:rPr>
                <w:rFonts w:ascii="Arial" w:eastAsia="Arial" w:hAnsi="Arial" w:cs="Arial"/>
              </w:rPr>
            </w:pPr>
          </w:p>
        </w:tc>
      </w:tr>
      <w:tr w:rsidR="00666B6B" w14:paraId="77706770" w14:textId="77777777">
        <w:trPr>
          <w:trHeight w:val="350"/>
        </w:trPr>
        <w:tc>
          <w:tcPr>
            <w:tcW w:w="2785" w:type="dxa"/>
            <w:gridSpan w:val="2"/>
            <w:tcBorders>
              <w:bottom w:val="single" w:sz="4" w:space="0" w:color="000000"/>
            </w:tcBorders>
            <w:shd w:val="clear" w:color="auto" w:fill="FFFFFF"/>
            <w:vAlign w:val="center"/>
          </w:tcPr>
          <w:p w14:paraId="1A7D9FC7" w14:textId="77777777" w:rsidR="00666B6B" w:rsidRDefault="008D683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655" w:type="dxa"/>
            <w:gridSpan w:val="2"/>
            <w:tcBorders>
              <w:bottom w:val="single" w:sz="4" w:space="0" w:color="000000"/>
            </w:tcBorders>
            <w:vAlign w:val="center"/>
          </w:tcPr>
          <w:p w14:paraId="6067568E" w14:textId="7C214FE8" w:rsidR="00666B6B" w:rsidRDefault="008D6833">
            <w:pPr>
              <w:pBdr>
                <w:top w:val="nil"/>
                <w:left w:val="nil"/>
                <w:bottom w:val="nil"/>
                <w:right w:val="nil"/>
                <w:between w:val="nil"/>
              </w:pBdr>
              <w:rPr>
                <w:rFonts w:ascii="Arial" w:eastAsia="Arial" w:hAnsi="Arial" w:cs="Arial"/>
                <w:color w:val="000000"/>
              </w:rPr>
            </w:pPr>
            <w:r>
              <w:rPr>
                <w:rFonts w:ascii="Arial" w:eastAsia="Arial" w:hAnsi="Arial" w:cs="Arial"/>
              </w:rPr>
              <w:t>Industrial</w:t>
            </w:r>
            <w:r w:rsidR="00B9074D">
              <w:rPr>
                <w:rFonts w:ascii="Arial" w:eastAsia="Arial" w:hAnsi="Arial" w:cs="Arial"/>
              </w:rPr>
              <w:t xml:space="preserve"> Consumer</w:t>
            </w:r>
          </w:p>
        </w:tc>
      </w:tr>
    </w:tbl>
    <w:p w14:paraId="2E3D3C6F" w14:textId="77777777" w:rsidR="00666B6B" w:rsidRDefault="00666B6B">
      <w:pPr>
        <w:pBdr>
          <w:top w:val="nil"/>
          <w:left w:val="nil"/>
          <w:bottom w:val="nil"/>
          <w:right w:val="nil"/>
          <w:between w:val="nil"/>
        </w:pBdr>
        <w:rPr>
          <w:rFonts w:ascii="Arial" w:eastAsia="Arial" w:hAnsi="Arial" w:cs="Arial"/>
          <w:color w:val="000000"/>
        </w:rPr>
      </w:pPr>
    </w:p>
    <w:tbl>
      <w:tblPr>
        <w:tblStyle w:val="a6"/>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666B6B" w14:paraId="19ABA64C" w14:textId="77777777">
        <w:trPr>
          <w:trHeight w:val="422"/>
          <w:jc w:val="center"/>
        </w:trPr>
        <w:tc>
          <w:tcPr>
            <w:tcW w:w="10440" w:type="dxa"/>
            <w:vAlign w:val="center"/>
          </w:tcPr>
          <w:p w14:paraId="7E4434D4"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6917800F" w14:textId="520F3708" w:rsidR="00666B6B" w:rsidRDefault="008D6833" w:rsidP="008D6833">
      <w:pPr>
        <w:spacing w:before="120" w:after="120" w:line="276" w:lineRule="auto"/>
        <w:rPr>
          <w:rFonts w:ascii="Arial" w:eastAsia="Arial" w:hAnsi="Arial" w:cs="Arial"/>
        </w:rPr>
      </w:pPr>
      <w:r>
        <w:rPr>
          <w:rFonts w:ascii="Arial" w:eastAsia="Arial" w:hAnsi="Arial" w:cs="Arial"/>
        </w:rPr>
        <w:t>Google appreciates the opportunity to comment on Nodal Operating Guide Revision Request (</w:t>
      </w:r>
      <w:r>
        <w:rPr>
          <w:rFonts w:ascii="Arial" w:eastAsia="Arial" w:hAnsi="Arial" w:cs="Arial"/>
        </w:rPr>
        <w:t>NOGRR)</w:t>
      </w:r>
      <w:r>
        <w:rPr>
          <w:rFonts w:ascii="Arial" w:eastAsia="Arial" w:hAnsi="Arial" w:cs="Arial"/>
        </w:rPr>
        <w:t xml:space="preserve"> 282 and provide feedback to ERCOT’s recommended voltage ride-</w:t>
      </w:r>
      <w:r>
        <w:rPr>
          <w:rFonts w:ascii="Arial" w:eastAsia="Arial" w:hAnsi="Arial" w:cs="Arial"/>
        </w:rPr>
        <w:t xml:space="preserve">through requirements which have significant impacts on data center development in the state of Texas. </w:t>
      </w:r>
    </w:p>
    <w:p w14:paraId="4598A01B" w14:textId="432293EF" w:rsidR="00666B6B" w:rsidRDefault="008D6833" w:rsidP="008D6833">
      <w:pPr>
        <w:spacing w:before="120" w:after="120" w:line="276" w:lineRule="auto"/>
        <w:rPr>
          <w:rFonts w:ascii="Arial" w:eastAsia="Arial" w:hAnsi="Arial" w:cs="Arial"/>
        </w:rPr>
      </w:pPr>
      <w:r>
        <w:rPr>
          <w:rFonts w:ascii="Arial" w:eastAsia="Arial" w:hAnsi="Arial" w:cs="Arial"/>
        </w:rPr>
        <w:t xml:space="preserve">As proposed, ERCOT’s standard presents significant technical and economic challenges, potentially impacting the viability of substantial data center and transmission investments. Specifically, Google strongly supports Data Center Coalition’s (DCC’s) </w:t>
      </w:r>
      <w:r>
        <w:rPr>
          <w:rFonts w:ascii="Arial" w:eastAsia="Arial" w:hAnsi="Arial" w:cs="Arial"/>
        </w:rPr>
        <w:t>proposed modifications to the following aspects of ERCOT’s proposal:</w:t>
      </w:r>
    </w:p>
    <w:p w14:paraId="0B4311CA" w14:textId="7A06CCE7" w:rsidR="00666B6B" w:rsidRDefault="008D6833" w:rsidP="008D6833">
      <w:pPr>
        <w:numPr>
          <w:ilvl w:val="0"/>
          <w:numId w:val="1"/>
        </w:numPr>
        <w:spacing w:before="120" w:after="120" w:line="276" w:lineRule="auto"/>
        <w:rPr>
          <w:rFonts w:ascii="Arial" w:eastAsia="Arial" w:hAnsi="Arial" w:cs="Arial"/>
        </w:rPr>
      </w:pPr>
      <w:r>
        <w:rPr>
          <w:rFonts w:ascii="Arial" w:eastAsia="Arial" w:hAnsi="Arial" w:cs="Arial"/>
        </w:rPr>
        <w:t>The exemption for deep, 3 phased voltage sags which could occur at a load’s point of interconnection</w:t>
      </w:r>
    </w:p>
    <w:p w14:paraId="270E2E07" w14:textId="77777777" w:rsidR="00666B6B" w:rsidRDefault="008D6833" w:rsidP="008D6833">
      <w:pPr>
        <w:numPr>
          <w:ilvl w:val="0"/>
          <w:numId w:val="1"/>
        </w:numPr>
        <w:spacing w:before="120" w:after="120" w:line="276" w:lineRule="auto"/>
        <w:rPr>
          <w:rFonts w:ascii="Arial" w:eastAsia="Arial" w:hAnsi="Arial" w:cs="Arial"/>
        </w:rPr>
      </w:pPr>
      <w:r>
        <w:rPr>
          <w:rFonts w:ascii="Arial" w:eastAsia="Arial" w:hAnsi="Arial" w:cs="Arial"/>
        </w:rPr>
        <w:t>Extension on the duration of post fault active power recovery (PFAPR) from 2 seconds to 8 seconds</w:t>
      </w:r>
    </w:p>
    <w:p w14:paraId="66088C7F" w14:textId="77777777" w:rsidR="00666B6B" w:rsidRDefault="008D6833" w:rsidP="008D6833">
      <w:pPr>
        <w:numPr>
          <w:ilvl w:val="0"/>
          <w:numId w:val="1"/>
        </w:numPr>
        <w:spacing w:before="120" w:after="120" w:line="276" w:lineRule="auto"/>
        <w:rPr>
          <w:rFonts w:ascii="Arial" w:eastAsia="Arial" w:hAnsi="Arial" w:cs="Arial"/>
        </w:rPr>
      </w:pPr>
      <w:r>
        <w:rPr>
          <w:rFonts w:ascii="Arial" w:eastAsia="Arial" w:hAnsi="Arial" w:cs="Arial"/>
        </w:rPr>
        <w:t>ERCOT’s proposed standard should recognize that load behind a POI is not uniform in its characteristics.</w:t>
      </w:r>
    </w:p>
    <w:p w14:paraId="12D9FF00" w14:textId="77777777" w:rsidR="00666B6B" w:rsidRDefault="008D6833" w:rsidP="008D6833">
      <w:pPr>
        <w:spacing w:before="120" w:after="120" w:line="276" w:lineRule="auto"/>
        <w:rPr>
          <w:rFonts w:ascii="Arial" w:eastAsia="Arial" w:hAnsi="Arial" w:cs="Arial"/>
        </w:rPr>
      </w:pPr>
      <w:r>
        <w:rPr>
          <w:rFonts w:ascii="Arial" w:eastAsia="Arial" w:hAnsi="Arial" w:cs="Arial"/>
        </w:rPr>
        <w:t xml:space="preserve">DCC’s proposed standards can meet </w:t>
      </w:r>
      <w:proofErr w:type="gramStart"/>
      <w:r>
        <w:rPr>
          <w:rFonts w:ascii="Arial" w:eastAsia="Arial" w:hAnsi="Arial" w:cs="Arial"/>
        </w:rPr>
        <w:t>the vast majority of</w:t>
      </w:r>
      <w:proofErr w:type="gramEnd"/>
      <w:r>
        <w:rPr>
          <w:rFonts w:ascii="Arial" w:eastAsia="Arial" w:hAnsi="Arial" w:cs="Arial"/>
        </w:rPr>
        <w:t xml:space="preserve"> deep voltage sags that occur under regular operations. ERCOT should adopt the Data Center Coalition’s recommendations as industry consensus for what can be reasonably achieved by data centers.</w:t>
      </w:r>
      <w:r>
        <w:rPr>
          <w:rFonts w:ascii="Arial" w:eastAsia="Arial" w:hAnsi="Arial" w:cs="Arial"/>
          <w:vertAlign w:val="superscript"/>
        </w:rPr>
        <w:footnoteReference w:id="1"/>
      </w:r>
      <w:r>
        <w:rPr>
          <w:rFonts w:ascii="Arial" w:eastAsia="Arial" w:hAnsi="Arial" w:cs="Arial"/>
        </w:rPr>
        <w:t xml:space="preserve">  Moving forward, ERCOT should leverage a more collaborative framework with </w:t>
      </w:r>
      <w:r>
        <w:rPr>
          <w:rFonts w:ascii="Arial" w:eastAsia="Arial" w:hAnsi="Arial" w:cs="Arial"/>
        </w:rPr>
        <w:lastRenderedPageBreak/>
        <w:t>utilities, equipment developers, and data center operators to engineer long-term, grid-based solutions that enhance resiliency for both current and anticipated loads.</w:t>
      </w:r>
    </w:p>
    <w:p w14:paraId="50186E9A" w14:textId="77777777" w:rsidR="00666B6B" w:rsidRDefault="008D6833" w:rsidP="008D6833">
      <w:pPr>
        <w:spacing w:before="120" w:after="120" w:line="276" w:lineRule="auto"/>
        <w:ind w:left="720"/>
        <w:jc w:val="center"/>
        <w:rPr>
          <w:rFonts w:ascii="Arial" w:eastAsia="Arial" w:hAnsi="Arial" w:cs="Arial"/>
          <w:i/>
          <w:iCs/>
          <w:sz w:val="22"/>
          <w:szCs w:val="22"/>
        </w:rPr>
      </w:pPr>
      <w:r>
        <w:rPr>
          <w:rFonts w:ascii="Arial" w:eastAsia="Arial" w:hAnsi="Arial" w:cs="Arial"/>
          <w:sz w:val="22"/>
          <w:szCs w:val="22"/>
        </w:rPr>
        <w:t xml:space="preserve">Table A: DCC 3/12/2026 Proposed VRT </w:t>
      </w:r>
      <w:r>
        <w:rPr>
          <w:rFonts w:ascii="Arial" w:eastAsia="Arial" w:hAnsi="Arial" w:cs="Arial"/>
          <w:i/>
          <w:iCs/>
          <w:sz w:val="22"/>
          <w:szCs w:val="22"/>
        </w:rPr>
        <w:t>(from Section 2.6.4 of NOGRR 282)</w:t>
      </w:r>
    </w:p>
    <w:tbl>
      <w:tblPr>
        <w:tblStyle w:val="a7"/>
        <w:tblW w:w="6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15"/>
        <w:gridCol w:w="3000"/>
      </w:tblGrid>
      <w:tr w:rsidR="00666B6B" w14:paraId="34F1C3D3" w14:textId="77777777">
        <w:trPr>
          <w:trHeight w:val="1110"/>
          <w:jc w:val="center"/>
        </w:trPr>
        <w:tc>
          <w:tcPr>
            <w:tcW w:w="3915" w:type="dxa"/>
            <w:tcBorders>
              <w:top w:val="single" w:sz="8" w:space="0" w:color="000000"/>
              <w:left w:val="single" w:sz="8" w:space="0" w:color="000000"/>
              <w:bottom w:val="single" w:sz="8" w:space="0" w:color="000000"/>
              <w:right w:val="single" w:sz="8" w:space="0" w:color="000000"/>
            </w:tcBorders>
            <w:shd w:val="clear" w:color="auto" w:fill="CCFFFF"/>
            <w:tcMar>
              <w:top w:w="0" w:type="dxa"/>
              <w:left w:w="100" w:type="dxa"/>
              <w:bottom w:w="0" w:type="dxa"/>
              <w:right w:w="100" w:type="dxa"/>
            </w:tcMar>
          </w:tcPr>
          <w:p w14:paraId="5457EE59"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Root-Mean-Square Voltage</w:t>
            </w:r>
          </w:p>
          <w:p w14:paraId="4C5FB575"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(p.u. of nominal)</w:t>
            </w:r>
          </w:p>
        </w:tc>
        <w:tc>
          <w:tcPr>
            <w:tcW w:w="3000" w:type="dxa"/>
            <w:tcBorders>
              <w:top w:val="single" w:sz="8" w:space="0" w:color="000000"/>
              <w:bottom w:val="single" w:sz="8" w:space="0" w:color="000000"/>
              <w:right w:val="single" w:sz="8" w:space="0" w:color="000000"/>
            </w:tcBorders>
            <w:shd w:val="clear" w:color="auto" w:fill="CCFFFF"/>
            <w:tcMar>
              <w:top w:w="0" w:type="dxa"/>
              <w:left w:w="100" w:type="dxa"/>
              <w:bottom w:w="0" w:type="dxa"/>
              <w:right w:w="100" w:type="dxa"/>
            </w:tcMar>
          </w:tcPr>
          <w:p w14:paraId="0EC11D47"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Minimum Ride-Through Time</w:t>
            </w:r>
          </w:p>
          <w:p w14:paraId="218CE31E"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(seconds)</w:t>
            </w:r>
          </w:p>
        </w:tc>
      </w:tr>
      <w:tr w:rsidR="00666B6B" w14:paraId="5193220D"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39F24BE5"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V &gt; 1.20</w:t>
            </w:r>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1F566CA8"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May ride-through or trip</w:t>
            </w:r>
          </w:p>
        </w:tc>
      </w:tr>
      <w:tr w:rsidR="00666B6B" w14:paraId="67878924"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148E2F55" w14:textId="77777777" w:rsidR="00666B6B" w:rsidRDefault="008D6833" w:rsidP="008D6833">
            <w:pPr>
              <w:spacing w:before="60" w:after="60" w:line="276" w:lineRule="auto"/>
              <w:jc w:val="center"/>
              <w:rPr>
                <w:rFonts w:ascii="Arial" w:eastAsia="Arial" w:hAnsi="Arial" w:cs="Arial"/>
                <w:sz w:val="22"/>
                <w:szCs w:val="22"/>
              </w:rPr>
            </w:pPr>
            <w:sdt>
              <w:sdtPr>
                <w:tag w:val="goog_rdk_0"/>
                <w:id w:val="1303455893"/>
              </w:sdtPr>
              <w:sdtEndPr/>
              <w:sdtContent>
                <w:r>
                  <w:rPr>
                    <w:rFonts w:ascii="Arial Unicode MS" w:eastAsia="Arial Unicode MS" w:hAnsi="Arial Unicode MS" w:cs="Arial Unicode MS"/>
                    <w:sz w:val="22"/>
                    <w:szCs w:val="22"/>
                  </w:rPr>
                  <w:t>1.10 &lt; V ≤ 1.20</w:t>
                </w:r>
              </w:sdtContent>
            </w:sdt>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2DBA84DB" w14:textId="77777777" w:rsidR="00666B6B" w:rsidRDefault="008D6833" w:rsidP="008D6833">
            <w:pPr>
              <w:spacing w:before="60" w:after="60" w:line="276" w:lineRule="auto"/>
              <w:jc w:val="center"/>
              <w:rPr>
                <w:rFonts w:ascii="Arial" w:eastAsia="Arial" w:hAnsi="Arial" w:cs="Arial"/>
                <w:i/>
                <w:iCs/>
                <w:sz w:val="22"/>
                <w:szCs w:val="22"/>
              </w:rPr>
            </w:pPr>
            <w:r>
              <w:rPr>
                <w:rFonts w:ascii="Arial" w:eastAsia="Arial" w:hAnsi="Arial" w:cs="Arial"/>
                <w:sz w:val="22"/>
                <w:szCs w:val="22"/>
              </w:rPr>
              <w:t xml:space="preserve">0.5 </w:t>
            </w:r>
            <w:r>
              <w:rPr>
                <w:rFonts w:ascii="Arial" w:eastAsia="Arial" w:hAnsi="Arial" w:cs="Arial"/>
                <w:i/>
                <w:iCs/>
                <w:sz w:val="22"/>
                <w:szCs w:val="22"/>
              </w:rPr>
              <w:t>(see next comment)</w:t>
            </w:r>
          </w:p>
        </w:tc>
      </w:tr>
      <w:tr w:rsidR="00666B6B" w14:paraId="25E3FC5F"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55A52423" w14:textId="77777777" w:rsidR="00666B6B" w:rsidRDefault="008D6833" w:rsidP="008D6833">
            <w:pPr>
              <w:spacing w:before="60" w:after="60" w:line="276" w:lineRule="auto"/>
              <w:jc w:val="center"/>
              <w:rPr>
                <w:rFonts w:ascii="Arial" w:eastAsia="Arial" w:hAnsi="Arial" w:cs="Arial"/>
                <w:sz w:val="22"/>
                <w:szCs w:val="22"/>
              </w:rPr>
            </w:pPr>
            <w:sdt>
              <w:sdtPr>
                <w:tag w:val="goog_rdk_1"/>
                <w:id w:val="1285986967"/>
              </w:sdtPr>
              <w:sdtEndPr/>
              <w:sdtContent>
                <w:r>
                  <w:rPr>
                    <w:rFonts w:ascii="Arial Unicode MS" w:eastAsia="Arial Unicode MS" w:hAnsi="Arial Unicode MS" w:cs="Arial Unicode MS"/>
                    <w:sz w:val="22"/>
                    <w:szCs w:val="22"/>
                  </w:rPr>
                  <w:t>0.90 ≤ V ≤ 1.10</w:t>
                </w:r>
              </w:sdtContent>
            </w:sdt>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3B68286F"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Continuous</w:t>
            </w:r>
          </w:p>
        </w:tc>
      </w:tr>
      <w:tr w:rsidR="00666B6B" w14:paraId="467F8B55"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36559E61" w14:textId="77777777" w:rsidR="00666B6B" w:rsidRDefault="008D6833" w:rsidP="008D6833">
            <w:pPr>
              <w:spacing w:before="60" w:after="60" w:line="276" w:lineRule="auto"/>
              <w:jc w:val="center"/>
              <w:rPr>
                <w:rFonts w:ascii="Arial" w:eastAsia="Arial" w:hAnsi="Arial" w:cs="Arial"/>
                <w:sz w:val="22"/>
                <w:szCs w:val="22"/>
              </w:rPr>
            </w:pPr>
            <w:sdt>
              <w:sdtPr>
                <w:tag w:val="goog_rdk_2"/>
                <w:id w:val="-1570442416"/>
              </w:sdtPr>
              <w:sdtEndPr/>
              <w:sdtContent>
                <w:r>
                  <w:rPr>
                    <w:rFonts w:ascii="Arial Unicode MS" w:eastAsia="Arial Unicode MS" w:hAnsi="Arial Unicode MS" w:cs="Arial Unicode MS"/>
                    <w:sz w:val="22"/>
                    <w:szCs w:val="22"/>
                  </w:rPr>
                  <w:t>0.80 ≤ V &lt; 0.90</w:t>
                </w:r>
              </w:sdtContent>
            </w:sdt>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0DA9CF3A"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2.0</w:t>
            </w:r>
          </w:p>
        </w:tc>
      </w:tr>
      <w:tr w:rsidR="00666B6B" w14:paraId="43DD8049"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26111C9D" w14:textId="77777777" w:rsidR="00666B6B" w:rsidRDefault="008D6833" w:rsidP="008D6833">
            <w:pPr>
              <w:spacing w:before="60" w:after="60" w:line="276" w:lineRule="auto"/>
              <w:jc w:val="center"/>
              <w:rPr>
                <w:rFonts w:ascii="Arial" w:eastAsia="Arial" w:hAnsi="Arial" w:cs="Arial"/>
                <w:sz w:val="22"/>
                <w:szCs w:val="22"/>
              </w:rPr>
            </w:pPr>
            <w:sdt>
              <w:sdtPr>
                <w:tag w:val="goog_rdk_3"/>
                <w:id w:val="120961155"/>
              </w:sdtPr>
              <w:sdtEndPr/>
              <w:sdtContent>
                <w:r>
                  <w:rPr>
                    <w:rFonts w:ascii="Arial Unicode MS" w:eastAsia="Arial Unicode MS" w:hAnsi="Arial Unicode MS" w:cs="Arial Unicode MS"/>
                    <w:sz w:val="22"/>
                    <w:szCs w:val="22"/>
                  </w:rPr>
                  <w:t>0.50 ≤ V &lt; 0.80</w:t>
                </w:r>
              </w:sdtContent>
            </w:sdt>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7983799D"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0.5</w:t>
            </w:r>
          </w:p>
        </w:tc>
      </w:tr>
      <w:tr w:rsidR="00666B6B" w14:paraId="1536A5A2"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238F3AED"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0.</w:t>
            </w:r>
            <w:r>
              <w:rPr>
                <w:rFonts w:ascii="Arial" w:eastAsia="Arial" w:hAnsi="Arial" w:cs="Arial"/>
                <w:color w:val="FF0000"/>
                <w:sz w:val="22"/>
                <w:szCs w:val="22"/>
              </w:rPr>
              <w:t>35</w:t>
            </w:r>
            <w:sdt>
              <w:sdtPr>
                <w:tag w:val="goog_rdk_4"/>
                <w:id w:val="-1200151289"/>
              </w:sdtPr>
              <w:sdtEndPr/>
              <w:sdtContent>
                <w:r>
                  <w:rPr>
                    <w:rFonts w:ascii="Arial Unicode MS" w:eastAsia="Arial Unicode MS" w:hAnsi="Arial Unicode MS" w:cs="Arial Unicode MS"/>
                    <w:sz w:val="22"/>
                    <w:szCs w:val="22"/>
                  </w:rPr>
                  <w:t xml:space="preserve"> ≤ V &lt; 0.50</w:t>
                </w:r>
              </w:sdtContent>
            </w:sdt>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48D457BC" w14:textId="77777777" w:rsidR="00666B6B" w:rsidRDefault="008D6833" w:rsidP="008D6833">
            <w:pPr>
              <w:spacing w:before="60" w:after="60" w:line="276" w:lineRule="auto"/>
              <w:jc w:val="center"/>
              <w:rPr>
                <w:rFonts w:ascii="Arial" w:eastAsia="Arial" w:hAnsi="Arial" w:cs="Arial"/>
                <w:sz w:val="22"/>
                <w:szCs w:val="22"/>
              </w:rPr>
            </w:pPr>
            <w:r>
              <w:rPr>
                <w:rFonts w:ascii="Arial" w:eastAsia="Arial" w:hAnsi="Arial" w:cs="Arial"/>
                <w:sz w:val="22"/>
                <w:szCs w:val="22"/>
              </w:rPr>
              <w:t>0.25</w:t>
            </w:r>
          </w:p>
        </w:tc>
      </w:tr>
      <w:tr w:rsidR="00666B6B" w14:paraId="27DD8587" w14:textId="77777777">
        <w:trPr>
          <w:trHeight w:val="300"/>
          <w:jc w:val="center"/>
        </w:trPr>
        <w:tc>
          <w:tcPr>
            <w:tcW w:w="3915" w:type="dxa"/>
            <w:tcBorders>
              <w:left w:val="single" w:sz="8" w:space="0" w:color="000000"/>
              <w:bottom w:val="single" w:sz="8" w:space="0" w:color="000000"/>
              <w:right w:val="single" w:sz="8" w:space="0" w:color="000000"/>
            </w:tcBorders>
            <w:shd w:val="clear" w:color="auto" w:fill="DEEAF6"/>
            <w:tcMar>
              <w:top w:w="0" w:type="dxa"/>
              <w:left w:w="100" w:type="dxa"/>
              <w:bottom w:w="0" w:type="dxa"/>
              <w:right w:w="100" w:type="dxa"/>
            </w:tcMar>
          </w:tcPr>
          <w:p w14:paraId="6C7D05A0" w14:textId="77777777" w:rsidR="00666B6B" w:rsidRDefault="008D6833" w:rsidP="008D6833">
            <w:pPr>
              <w:spacing w:before="60" w:after="60" w:line="276" w:lineRule="auto"/>
              <w:jc w:val="center"/>
              <w:rPr>
                <w:rFonts w:ascii="Arial" w:eastAsia="Arial" w:hAnsi="Arial" w:cs="Arial"/>
                <w:color w:val="FF0000"/>
                <w:sz w:val="22"/>
                <w:szCs w:val="22"/>
              </w:rPr>
            </w:pPr>
            <w:r>
              <w:rPr>
                <w:rFonts w:ascii="Arial" w:eastAsia="Arial" w:hAnsi="Arial" w:cs="Arial"/>
                <w:color w:val="FF0000"/>
                <w:sz w:val="22"/>
                <w:szCs w:val="22"/>
              </w:rPr>
              <w:t>V &lt; 0.35</w:t>
            </w:r>
          </w:p>
        </w:tc>
        <w:tc>
          <w:tcPr>
            <w:tcW w:w="3000" w:type="dxa"/>
            <w:tcBorders>
              <w:bottom w:val="single" w:sz="8" w:space="0" w:color="000000"/>
              <w:right w:val="single" w:sz="8" w:space="0" w:color="000000"/>
            </w:tcBorders>
            <w:shd w:val="clear" w:color="auto" w:fill="DEEAF6"/>
            <w:tcMar>
              <w:top w:w="0" w:type="dxa"/>
              <w:left w:w="100" w:type="dxa"/>
              <w:bottom w:w="0" w:type="dxa"/>
              <w:right w:w="100" w:type="dxa"/>
            </w:tcMar>
          </w:tcPr>
          <w:p w14:paraId="134DB9CC" w14:textId="77777777" w:rsidR="00666B6B" w:rsidRDefault="008D6833" w:rsidP="008D6833">
            <w:pPr>
              <w:spacing w:before="60" w:after="60" w:line="276" w:lineRule="auto"/>
              <w:jc w:val="center"/>
              <w:rPr>
                <w:rFonts w:ascii="Arial" w:eastAsia="Arial" w:hAnsi="Arial" w:cs="Arial"/>
                <w:color w:val="FF0000"/>
                <w:sz w:val="22"/>
                <w:szCs w:val="22"/>
              </w:rPr>
            </w:pPr>
            <w:r>
              <w:rPr>
                <w:rFonts w:ascii="Arial" w:eastAsia="Arial" w:hAnsi="Arial" w:cs="Arial"/>
                <w:color w:val="FF0000"/>
                <w:sz w:val="22"/>
                <w:szCs w:val="22"/>
              </w:rPr>
              <w:t>0.02</w:t>
            </w:r>
          </w:p>
        </w:tc>
      </w:tr>
    </w:tbl>
    <w:p w14:paraId="6E4CEEAE" w14:textId="77777777" w:rsidR="00666B6B" w:rsidRDefault="008D6833" w:rsidP="008D6833">
      <w:pPr>
        <w:spacing w:before="240" w:after="120" w:line="276" w:lineRule="auto"/>
        <w:rPr>
          <w:rFonts w:ascii="Arial" w:eastAsia="Arial" w:hAnsi="Arial" w:cs="Arial"/>
        </w:rPr>
      </w:pPr>
      <w:r>
        <w:rPr>
          <w:rFonts w:ascii="Arial" w:eastAsia="Arial" w:hAnsi="Arial" w:cs="Arial"/>
        </w:rPr>
        <w:t xml:space="preserve">As iterated in the DCC comments, Google’s </w:t>
      </w:r>
      <w:r>
        <w:rPr>
          <w:rFonts w:ascii="Arial" w:eastAsia="Arial" w:hAnsi="Arial" w:cs="Arial"/>
        </w:rPr>
        <w:t xml:space="preserve">data center IT loads can handle rather deep voltage sags without transferring to battery backup - typically all the way down to ~0.35 per unit (p.u.) voltage for 20ms, and far exceeding the voltage ride through capabilities of most large loads. Based on </w:t>
      </w:r>
      <w:hyperlink r:id="rId10">
        <w:r>
          <w:rPr>
            <w:rFonts w:ascii="Arial" w:eastAsia="Arial" w:hAnsi="Arial" w:cs="Arial"/>
            <w:color w:val="1155CC"/>
            <w:u w:val="single"/>
          </w:rPr>
          <w:t>electric industry data</w:t>
        </w:r>
      </w:hyperlink>
      <w:r>
        <w:rPr>
          <w:rFonts w:ascii="Arial" w:eastAsia="Arial" w:hAnsi="Arial" w:cs="Arial"/>
        </w:rPr>
        <w:t>, Google estimates that this performance covers 90%+ of the faults that typically occur on the transmission system (e.g. single-line to ground, line-to-line, and line-line-to-ground).</w:t>
      </w:r>
      <w:r>
        <w:rPr>
          <w:rFonts w:ascii="Arial" w:eastAsia="Arial" w:hAnsi="Arial" w:cs="Arial"/>
          <w:vertAlign w:val="superscript"/>
        </w:rPr>
        <w:footnoteReference w:id="2"/>
      </w:r>
      <w:r>
        <w:rPr>
          <w:rFonts w:ascii="Arial" w:eastAsia="Arial" w:hAnsi="Arial" w:cs="Arial"/>
        </w:rPr>
        <w:t xml:space="preserve">  While exact post-fault per unit voltage at the point of interconnection (POI) varies based on a number of fault and facility design specifics, it is likely that only three-phase faults (line-line-line or line-line-line-ground) directly outside the data center facility would cause POI voltage to dip below 0.35 p.u. These typically constitute less than 10% of all fault types. </w:t>
      </w:r>
    </w:p>
    <w:p w14:paraId="186D8E36" w14:textId="77777777" w:rsidR="00666B6B" w:rsidRDefault="008D6833" w:rsidP="008D6833">
      <w:pPr>
        <w:spacing w:before="120" w:after="120" w:line="276" w:lineRule="auto"/>
        <w:rPr>
          <w:rFonts w:ascii="Arial" w:eastAsia="Arial" w:hAnsi="Arial" w:cs="Arial"/>
        </w:rPr>
      </w:pPr>
      <w:r>
        <w:rPr>
          <w:rFonts w:ascii="Arial" w:eastAsia="Arial" w:hAnsi="Arial" w:cs="Arial"/>
        </w:rPr>
        <w:t xml:space="preserve">Furthermore, for a sustained three-phase fault, a load would be allowed and expected to transfer to permanent backup generation, so the gap in compliance is the unlikely event of a three-phase fault, right near the facility, that is capable of being cleared by the transmission system in a timely manner. </w:t>
      </w:r>
    </w:p>
    <w:p w14:paraId="3DF570FA" w14:textId="77777777" w:rsidR="00666B6B" w:rsidRDefault="008D6833" w:rsidP="008D6833">
      <w:pPr>
        <w:spacing w:before="120" w:after="120" w:line="276" w:lineRule="auto"/>
        <w:rPr>
          <w:rFonts w:ascii="Arial" w:eastAsia="Arial" w:hAnsi="Arial" w:cs="Arial"/>
        </w:rPr>
      </w:pPr>
      <w:r>
        <w:rPr>
          <w:rFonts w:ascii="Arial" w:eastAsia="Arial" w:hAnsi="Arial" w:cs="Arial"/>
        </w:rPr>
        <w:t xml:space="preserve">Even if such a fault did take place and was normally cleared in a timely manner, Google estimates that most sites still would be able to restore campus load to pre-fault levels </w:t>
      </w:r>
      <w:r>
        <w:rPr>
          <w:rFonts w:ascii="Arial" w:eastAsia="Arial" w:hAnsi="Arial" w:cs="Arial"/>
        </w:rPr>
        <w:lastRenderedPageBreak/>
        <w:t>within ~8 seconds of the POI voltage restoring to 90%. This is in comparison to the 2 second requirement now being requested by ERCOT.</w:t>
      </w:r>
    </w:p>
    <w:p w14:paraId="0BFC0BFA" w14:textId="77777777" w:rsidR="00666B6B" w:rsidRDefault="008D6833" w:rsidP="008D6833">
      <w:pPr>
        <w:spacing w:before="120" w:after="120" w:line="276" w:lineRule="auto"/>
        <w:rPr>
          <w:rFonts w:ascii="Arial" w:eastAsia="Arial" w:hAnsi="Arial" w:cs="Arial"/>
          <w:color w:val="000000"/>
        </w:rPr>
      </w:pPr>
      <w:r>
        <w:rPr>
          <w:rFonts w:ascii="Arial" w:eastAsia="Arial" w:hAnsi="Arial" w:cs="Arial"/>
        </w:rPr>
        <w:t xml:space="preserve">Adhering to </w:t>
      </w:r>
      <w:proofErr w:type="gramStart"/>
      <w:r>
        <w:rPr>
          <w:rFonts w:ascii="Arial" w:eastAsia="Arial" w:hAnsi="Arial" w:cs="Arial"/>
        </w:rPr>
        <w:t>all of</w:t>
      </w:r>
      <w:proofErr w:type="gramEnd"/>
      <w:r>
        <w:rPr>
          <w:rFonts w:ascii="Arial" w:eastAsia="Arial" w:hAnsi="Arial" w:cs="Arial"/>
        </w:rPr>
        <w:t xml:space="preserve"> ERCOT’s proposed requirements </w:t>
      </w:r>
      <w:proofErr w:type="gramStart"/>
      <w:r>
        <w:rPr>
          <w:rFonts w:ascii="Arial" w:eastAsia="Arial" w:hAnsi="Arial" w:cs="Arial"/>
        </w:rPr>
        <w:t>with</w:t>
      </w:r>
      <w:proofErr w:type="gramEnd"/>
      <w:r>
        <w:rPr>
          <w:rFonts w:ascii="Arial" w:eastAsia="Arial" w:hAnsi="Arial" w:cs="Arial"/>
        </w:rPr>
        <w:t xml:space="preserve"> current technology could necessitate the extensive addition of capacitors. This shift might trigger a physical overhaul of data center architectures and the replacement of substantial amounts of equipment. Furthermore, such designs may lead to unintended operational issues; for instance, the high inrush current required to charge capacitors upon AC power restoration could trip local breakers and take data center loads offline. This challenge highlights just one of t</w:t>
      </w:r>
      <w:r>
        <w:rPr>
          <w:rFonts w:ascii="Arial" w:eastAsia="Arial" w:hAnsi="Arial" w:cs="Arial"/>
        </w:rPr>
        <w:t>he complex design issues that requires thorough discussion.</w:t>
      </w:r>
    </w:p>
    <w:p w14:paraId="5F643189" w14:textId="77777777" w:rsidR="00666B6B" w:rsidRDefault="008D6833" w:rsidP="008D6833">
      <w:pPr>
        <w:spacing w:before="120" w:after="120" w:line="276" w:lineRule="auto"/>
        <w:rPr>
          <w:rFonts w:ascii="Arial" w:eastAsia="Arial" w:hAnsi="Arial" w:cs="Arial"/>
        </w:rPr>
      </w:pPr>
      <w:r>
        <w:rPr>
          <w:rFonts w:ascii="Arial" w:eastAsia="Arial" w:hAnsi="Arial" w:cs="Arial"/>
        </w:rPr>
        <w:t xml:space="preserve">To make ERCOT’s proposal feasible, this design challenge will require alignment with several supporting original equipment manufacturers. Google estimates that this systemic redesign will take years, followed by the amount of time needed to manufacture compliant power supplies and retrofit them onto existing facilities. </w:t>
      </w:r>
      <w:proofErr w:type="gramStart"/>
      <w:r>
        <w:rPr>
          <w:rFonts w:ascii="Arial" w:eastAsia="Arial" w:hAnsi="Arial" w:cs="Arial"/>
        </w:rPr>
        <w:t>In order to</w:t>
      </w:r>
      <w:proofErr w:type="gramEnd"/>
      <w:r>
        <w:rPr>
          <w:rFonts w:ascii="Arial" w:eastAsia="Arial" w:hAnsi="Arial" w:cs="Arial"/>
        </w:rPr>
        <w:t xml:space="preserve"> comply with the proposed ERCOT requirements, the data center industry would likely need to trigger complex, multi-</w:t>
      </w:r>
      <w:proofErr w:type="gramStart"/>
      <w:r>
        <w:rPr>
          <w:rFonts w:ascii="Arial" w:eastAsia="Arial" w:hAnsi="Arial" w:cs="Arial"/>
        </w:rPr>
        <w:t>billion dollar</w:t>
      </w:r>
      <w:proofErr w:type="gramEnd"/>
      <w:r>
        <w:rPr>
          <w:rFonts w:ascii="Arial" w:eastAsia="Arial" w:hAnsi="Arial" w:cs="Arial"/>
        </w:rPr>
        <w:t xml:space="preserve"> redesigns of power supply units or fundamental changes to data center architecture. </w:t>
      </w:r>
    </w:p>
    <w:p w14:paraId="21CD4C0F" w14:textId="77777777" w:rsidR="00666B6B" w:rsidRDefault="008D6833" w:rsidP="008D6833">
      <w:pPr>
        <w:spacing w:before="120" w:after="120" w:line="276" w:lineRule="auto"/>
        <w:rPr>
          <w:rFonts w:ascii="Arial" w:eastAsia="Arial" w:hAnsi="Arial" w:cs="Arial"/>
        </w:rPr>
      </w:pPr>
      <w:r>
        <w:rPr>
          <w:rFonts w:ascii="Arial" w:eastAsia="Arial" w:hAnsi="Arial" w:cs="Arial"/>
        </w:rPr>
        <w:t>This is also true for multiple suggested compliance technologies presented to stakeholders, which largely have only been demonstrated with test data and yet to be proven capable in full-scale deployments, and for which ERCOT cannot expressly endorse as compliant. With no certainty of being able to achieve compliance, ERCOT’s proposal would slow the pace of development in the state at this critical time for the industry, and may render it impossible to viably interconnect, particularly given ERCOT’s proposed</w:t>
      </w:r>
      <w:r>
        <w:rPr>
          <w:rFonts w:ascii="Arial" w:eastAsia="Arial" w:hAnsi="Arial" w:cs="Arial"/>
        </w:rPr>
        <w:t xml:space="preserve"> system-wide operating limit for non-VRT compliant load.</w:t>
      </w:r>
      <w:r>
        <w:rPr>
          <w:rFonts w:ascii="Arial" w:eastAsia="Arial" w:hAnsi="Arial" w:cs="Arial"/>
          <w:color w:val="000000"/>
          <w:vertAlign w:val="superscript"/>
        </w:rPr>
        <w:footnoteReference w:id="3"/>
      </w:r>
      <w:r>
        <w:rPr>
          <w:rFonts w:ascii="Arial" w:eastAsia="Arial" w:hAnsi="Arial" w:cs="Arial"/>
        </w:rPr>
        <w:t xml:space="preserve"> </w:t>
      </w:r>
    </w:p>
    <w:p w14:paraId="5BEB9584" w14:textId="77777777" w:rsidR="00666B6B" w:rsidRDefault="008D6833" w:rsidP="008D6833">
      <w:pPr>
        <w:spacing w:before="120" w:after="120" w:line="276" w:lineRule="auto"/>
        <w:rPr>
          <w:rFonts w:ascii="Arial" w:eastAsia="Arial" w:hAnsi="Arial" w:cs="Arial"/>
        </w:rPr>
      </w:pPr>
      <w:r>
        <w:rPr>
          <w:rFonts w:ascii="Arial" w:eastAsia="Arial" w:hAnsi="Arial" w:cs="Arial"/>
        </w:rPr>
        <w:t xml:space="preserve">Finally, ERCOT’s standard assumes the load behind a POI is uniform in its characteristics. As with most major industrial operations, loads at data centers are not uniform behind the meter, and can consist of many different types of computational, thermal, and mechanical loads. As </w:t>
      </w:r>
      <w:proofErr w:type="gramStart"/>
      <w:r>
        <w:rPr>
          <w:rFonts w:ascii="Arial" w:eastAsia="Arial" w:hAnsi="Arial" w:cs="Arial"/>
        </w:rPr>
        <w:t>iterated</w:t>
      </w:r>
      <w:proofErr w:type="gramEnd"/>
      <w:r>
        <w:rPr>
          <w:rFonts w:ascii="Arial" w:eastAsia="Arial" w:hAnsi="Arial" w:cs="Arial"/>
        </w:rPr>
        <w:t xml:space="preserve"> by DCC, we believe ERCOT would benefit from more information regarding the differences between mechanical loads and computational loads. Until these differences can be examined further, it may be prudent to consider language limiting the proposed frequency and voltage ride-through requirements to “computational load” and exempt “mechanical load used for cooling.” Alternatively, ERCOT could limit the proposed frequency and voltage ride-through requirements to some percentage or portion of the connec</w:t>
      </w:r>
      <w:r>
        <w:rPr>
          <w:rFonts w:ascii="Arial" w:eastAsia="Arial" w:hAnsi="Arial" w:cs="Arial"/>
        </w:rPr>
        <w:t>ted load, such as 70% as recommended by DCC.</w:t>
      </w:r>
    </w:p>
    <w:p w14:paraId="16542456" w14:textId="3DBC4380" w:rsidR="00666B6B" w:rsidRDefault="00B9074D" w:rsidP="008D6833">
      <w:pPr>
        <w:spacing w:before="120" w:after="120" w:line="276" w:lineRule="auto"/>
        <w:rPr>
          <w:rFonts w:ascii="Arial" w:eastAsia="Arial" w:hAnsi="Arial" w:cs="Arial"/>
        </w:rPr>
      </w:pPr>
      <w:r>
        <w:rPr>
          <w:rFonts w:ascii="Arial" w:eastAsia="Arial" w:hAnsi="Arial" w:cs="Arial"/>
        </w:rPr>
        <w:t xml:space="preserve">Google appreciates the opportunity to support DCC’s comments and provide further perspective on ERCOT’s proposed </w:t>
      </w:r>
      <w:r w:rsidR="008D6833">
        <w:rPr>
          <w:rFonts w:ascii="Arial" w:eastAsia="Arial" w:hAnsi="Arial" w:cs="Arial"/>
        </w:rPr>
        <w:t>ride-through.</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D6833" w:rsidRPr="008D6833" w14:paraId="76DF5EC5" w14:textId="77777777" w:rsidTr="0044467D">
        <w:trPr>
          <w:trHeight w:val="350"/>
        </w:trPr>
        <w:tc>
          <w:tcPr>
            <w:tcW w:w="10440" w:type="dxa"/>
            <w:tcBorders>
              <w:bottom w:val="single" w:sz="4" w:space="0" w:color="auto"/>
            </w:tcBorders>
            <w:shd w:val="clear" w:color="auto" w:fill="FFFFFF"/>
            <w:vAlign w:val="center"/>
          </w:tcPr>
          <w:p w14:paraId="286CF428" w14:textId="77777777" w:rsidR="008D6833" w:rsidRPr="008D6833" w:rsidRDefault="008D6833" w:rsidP="008D6833">
            <w:pPr>
              <w:tabs>
                <w:tab w:val="center" w:pos="4320"/>
                <w:tab w:val="right" w:pos="8640"/>
              </w:tabs>
              <w:jc w:val="center"/>
              <w:rPr>
                <w:rFonts w:ascii="Arial" w:hAnsi="Arial"/>
                <w:b/>
                <w:bCs/>
                <w:lang w:val="en-US"/>
              </w:rPr>
            </w:pPr>
            <w:r w:rsidRPr="008D6833">
              <w:rPr>
                <w:rFonts w:ascii="Arial" w:hAnsi="Arial"/>
                <w:b/>
                <w:bCs/>
                <w:lang w:val="en-US"/>
              </w:rPr>
              <w:lastRenderedPageBreak/>
              <w:t>Revised Cover Page Language</w:t>
            </w:r>
          </w:p>
        </w:tc>
      </w:tr>
    </w:tbl>
    <w:p w14:paraId="7243AD44" w14:textId="77777777" w:rsidR="008D6833" w:rsidRPr="008D6833" w:rsidRDefault="008D6833" w:rsidP="008D6833">
      <w:pPr>
        <w:spacing w:before="120" w:after="120"/>
        <w:rPr>
          <w:rFonts w:ascii="Arial" w:hAnsi="Arial"/>
          <w:lang w:val="en-US"/>
        </w:rPr>
      </w:pPr>
      <w:r w:rsidRPr="008D6833">
        <w:rPr>
          <w:rFonts w:ascii="Arial" w:hAnsi="Arial"/>
          <w:lang w:val="en-US"/>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D6833" w:rsidRPr="008D6833" w14:paraId="21450150" w14:textId="77777777" w:rsidTr="0044467D">
        <w:trPr>
          <w:trHeight w:val="350"/>
        </w:trPr>
        <w:tc>
          <w:tcPr>
            <w:tcW w:w="10440" w:type="dxa"/>
            <w:tcBorders>
              <w:bottom w:val="single" w:sz="4" w:space="0" w:color="auto"/>
            </w:tcBorders>
            <w:shd w:val="clear" w:color="auto" w:fill="FFFFFF"/>
            <w:vAlign w:val="center"/>
          </w:tcPr>
          <w:p w14:paraId="295AF3BA" w14:textId="77777777" w:rsidR="008D6833" w:rsidRPr="008D6833" w:rsidRDefault="008D6833" w:rsidP="008D6833">
            <w:pPr>
              <w:tabs>
                <w:tab w:val="center" w:pos="4320"/>
                <w:tab w:val="right" w:pos="8640"/>
              </w:tabs>
              <w:jc w:val="center"/>
              <w:rPr>
                <w:rFonts w:ascii="Arial" w:hAnsi="Arial"/>
                <w:b/>
                <w:bCs/>
                <w:lang w:val="en-US"/>
              </w:rPr>
            </w:pPr>
            <w:r w:rsidRPr="008D6833">
              <w:rPr>
                <w:rFonts w:ascii="Arial" w:hAnsi="Arial"/>
                <w:b/>
                <w:bCs/>
                <w:lang w:val="en-US"/>
              </w:rPr>
              <w:t>Revised Proposed Guide Language</w:t>
            </w:r>
          </w:p>
        </w:tc>
      </w:tr>
    </w:tbl>
    <w:p w14:paraId="5432EA94" w14:textId="2A71BEF3" w:rsidR="008D6833" w:rsidRPr="008D6833" w:rsidRDefault="008D6833" w:rsidP="008D6833">
      <w:pPr>
        <w:spacing w:before="120" w:after="120"/>
        <w:rPr>
          <w:rFonts w:ascii="Arial" w:hAnsi="Arial"/>
          <w:lang w:val="en-US"/>
        </w:rPr>
      </w:pPr>
      <w:r w:rsidRPr="008D6833">
        <w:rPr>
          <w:rFonts w:ascii="Arial" w:hAnsi="Arial"/>
          <w:lang w:val="en-US"/>
        </w:rPr>
        <w:t>None</w:t>
      </w:r>
    </w:p>
    <w:sectPr w:rsidR="008D6833" w:rsidRPr="008D683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1E0AB" w14:textId="77777777" w:rsidR="008D6833" w:rsidRDefault="008D6833">
      <w:r>
        <w:separator/>
      </w:r>
    </w:p>
  </w:endnote>
  <w:endnote w:type="continuationSeparator" w:id="0">
    <w:p w14:paraId="23A09066" w14:textId="77777777" w:rsidR="008D6833" w:rsidRDefault="008D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0819A64-D9D4-4DEC-B1EA-FD9E8FA23DC8}"/>
  </w:font>
  <w:font w:name="Georgia">
    <w:panose1 w:val="02040502050405020303"/>
    <w:charset w:val="00"/>
    <w:family w:val="roman"/>
    <w:pitch w:val="variable"/>
    <w:sig w:usb0="00000287" w:usb1="00000000" w:usb2="00000000" w:usb3="00000000" w:csb0="0000009F" w:csb1="00000000"/>
    <w:embedItalic r:id="rId2" w:fontKey="{738EDB78-7C5A-4B69-9261-B2554C1250E9}"/>
  </w:font>
  <w:font w:name="Verdana">
    <w:panose1 w:val="020B0604030504040204"/>
    <w:charset w:val="00"/>
    <w:family w:val="swiss"/>
    <w:pitch w:val="variable"/>
    <w:sig w:usb0="A00006FF" w:usb1="4000205B" w:usb2="00000010" w:usb3="00000000" w:csb0="0000019F" w:csb1="00000000"/>
    <w:embedBold r:id="rId3" w:fontKey="{703D52CF-0C86-4C41-8FB4-93697F86DDC4}"/>
  </w:font>
  <w:font w:name="Arial Unicode MS">
    <w:panose1 w:val="020B0604020202020204"/>
    <w:charset w:val="80"/>
    <w:family w:val="swiss"/>
    <w:pitch w:val="variable"/>
    <w:sig w:usb0="F7FFAFFF" w:usb1="E9DFFFFF" w:usb2="0000003F" w:usb3="00000000" w:csb0="003F01FF" w:csb1="00000000"/>
    <w:embedRegular r:id="rId4" w:subsetted="1" w:fontKey="{CB1DB416-9177-425C-8E7C-E3F35EE9234A}"/>
  </w:font>
  <w:font w:name="Calibri">
    <w:panose1 w:val="020F0502020204030204"/>
    <w:charset w:val="00"/>
    <w:family w:val="swiss"/>
    <w:pitch w:val="variable"/>
    <w:sig w:usb0="E4002EFF" w:usb1="C200247B" w:usb2="00000009" w:usb3="00000000" w:csb0="000001FF" w:csb1="00000000"/>
    <w:embedRegular r:id="rId5" w:fontKey="{ACEA7B79-2EA0-43E8-825F-977A909509D3}"/>
  </w:font>
  <w:font w:name="Cambria">
    <w:panose1 w:val="02040503050406030204"/>
    <w:charset w:val="00"/>
    <w:family w:val="roman"/>
    <w:pitch w:val="variable"/>
    <w:sig w:usb0="E00006FF" w:usb1="420024FF" w:usb2="02000000" w:usb3="00000000" w:csb0="0000019F" w:csb1="00000000"/>
    <w:embedRegular r:id="rId6" w:fontKey="{60373F66-4031-47AD-A27D-DA3877F6D3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481D" w14:textId="77777777" w:rsidR="00666B6B" w:rsidRDefault="00666B6B">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98E61" w14:textId="42CB9A8C" w:rsidR="00666B6B" w:rsidRDefault="008D683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282NOGRR-1</w:t>
    </w:r>
    <w:r w:rsidR="00B9074D">
      <w:rPr>
        <w:rFonts w:ascii="Arial" w:eastAsia="Arial" w:hAnsi="Arial" w:cs="Arial"/>
        <w:color w:val="000000"/>
        <w:sz w:val="18"/>
        <w:szCs w:val="18"/>
      </w:rPr>
      <w:t>8</w:t>
    </w:r>
    <w:r>
      <w:rPr>
        <w:rFonts w:ascii="Arial" w:eastAsia="Arial" w:hAnsi="Arial" w:cs="Arial"/>
        <w:color w:val="000000"/>
        <w:sz w:val="18"/>
        <w:szCs w:val="18"/>
      </w:rPr>
      <w:t xml:space="preserve"> </w:t>
    </w:r>
    <w:r w:rsidR="00B9074D">
      <w:rPr>
        <w:rFonts w:ascii="Arial" w:eastAsia="Arial" w:hAnsi="Arial" w:cs="Arial"/>
        <w:color w:val="000000"/>
        <w:sz w:val="18"/>
        <w:szCs w:val="18"/>
      </w:rPr>
      <w:t>Google</w:t>
    </w:r>
    <w:r>
      <w:rPr>
        <w:rFonts w:ascii="Arial" w:eastAsia="Arial" w:hAnsi="Arial" w:cs="Arial"/>
        <w:color w:val="000000"/>
        <w:sz w:val="18"/>
        <w:szCs w:val="18"/>
      </w:rPr>
      <w:t xml:space="preserve"> Comments 0</w:t>
    </w:r>
    <w:r w:rsidR="00B9074D">
      <w:rPr>
        <w:rFonts w:ascii="Arial" w:eastAsia="Arial" w:hAnsi="Arial" w:cs="Arial"/>
        <w:color w:val="000000"/>
        <w:sz w:val="18"/>
        <w:szCs w:val="18"/>
      </w:rPr>
      <w:t>331</w:t>
    </w:r>
    <w:r>
      <w:rPr>
        <w:rFonts w:ascii="Arial" w:eastAsia="Arial" w:hAnsi="Arial" w:cs="Arial"/>
        <w:color w:val="000000"/>
        <w:sz w:val="18"/>
        <w:szCs w:val="18"/>
      </w:rPr>
      <w:t xml:space="preserve">26 </w:t>
    </w:r>
    <w:r>
      <w:tab/>
    </w:r>
    <w:r>
      <w:tab/>
    </w: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B9074D">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B9074D">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5DB7FBEC" w14:textId="77777777" w:rsidR="00666B6B" w:rsidRDefault="008D683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8BEB" w14:textId="77777777" w:rsidR="00666B6B" w:rsidRDefault="00666B6B">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24187" w14:textId="77777777" w:rsidR="008D6833" w:rsidRDefault="008D6833">
      <w:r>
        <w:separator/>
      </w:r>
    </w:p>
  </w:footnote>
  <w:footnote w:type="continuationSeparator" w:id="0">
    <w:p w14:paraId="7983EB2F" w14:textId="77777777" w:rsidR="008D6833" w:rsidRDefault="008D6833">
      <w:r>
        <w:continuationSeparator/>
      </w:r>
    </w:p>
  </w:footnote>
  <w:footnote w:id="1">
    <w:p w14:paraId="38D94A7F" w14:textId="77777777" w:rsidR="00666B6B" w:rsidRDefault="008D6833">
      <w:pPr>
        <w:rPr>
          <w:sz w:val="20"/>
          <w:szCs w:val="20"/>
        </w:rPr>
      </w:pPr>
      <w:r>
        <w:rPr>
          <w:rStyle w:val="FootnoteReference"/>
        </w:rPr>
        <w:footnoteRef/>
      </w:r>
      <w:r>
        <w:rPr>
          <w:sz w:val="20"/>
          <w:szCs w:val="20"/>
        </w:rPr>
        <w:t xml:space="preserve"> https://www.ercot.com/files/docs/2026/03/12/282NOGRR-13-Data-Center-Coalition-Comments-031226.docx</w:t>
      </w:r>
    </w:p>
  </w:footnote>
  <w:footnote w:id="2">
    <w:p w14:paraId="030BA94E" w14:textId="77777777" w:rsidR="00666B6B" w:rsidRDefault="008D6833">
      <w:pPr>
        <w:rPr>
          <w:sz w:val="20"/>
          <w:szCs w:val="20"/>
        </w:rPr>
      </w:pPr>
      <w:r>
        <w:rPr>
          <w:rStyle w:val="FootnoteReference"/>
        </w:rPr>
        <w:footnoteRef/>
      </w:r>
      <w:r>
        <w:rPr>
          <w:sz w:val="20"/>
          <w:szCs w:val="20"/>
        </w:rPr>
        <w:t xml:space="preserve"> Assessment of North American Transmission Outages by Fault Type, https://ieeexplore.ieee.org/document/9281449</w:t>
      </w:r>
    </w:p>
  </w:footnote>
  <w:footnote w:id="3">
    <w:p w14:paraId="716ACD88" w14:textId="77777777" w:rsidR="00666B6B" w:rsidRDefault="008D6833">
      <w:pPr>
        <w:pBdr>
          <w:top w:val="nil"/>
          <w:left w:val="nil"/>
          <w:bottom w:val="nil"/>
          <w:right w:val="nil"/>
          <w:between w:val="nil"/>
        </w:pBdr>
        <w:rPr>
          <w:color w:val="000000"/>
          <w:sz w:val="20"/>
          <w:szCs w:val="20"/>
        </w:rPr>
      </w:pPr>
      <w:r>
        <w:rPr>
          <w:rStyle w:val="FootnoteReference"/>
        </w:rPr>
        <w:footnoteRef/>
      </w:r>
      <w:r>
        <w:rPr>
          <w:color w:val="000000"/>
          <w:sz w:val="20"/>
          <w:szCs w:val="20"/>
        </w:rPr>
        <w:t>https://www.ercot.com/files/docs/2025/11/19/1308NPRR-01-Related-to-NOGRR282-Large-Electronic-Load-Ride-Through-Requirements-111425.docx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37DC" w14:textId="77777777" w:rsidR="00666B6B" w:rsidRDefault="00666B6B">
    <w:pPr>
      <w:pBdr>
        <w:top w:val="nil"/>
        <w:left w:val="nil"/>
        <w:bottom w:val="nil"/>
        <w:right w:val="nil"/>
        <w:between w:val="nil"/>
      </w:pBdr>
      <w:tabs>
        <w:tab w:val="center" w:pos="4320"/>
        <w:tab w:val="right" w:pos="8640"/>
      </w:tabs>
      <w:ind w:hanging="2"/>
      <w:rPr>
        <w:rFonts w:ascii="Arial" w:eastAsia="Arial" w:hAnsi="Arial" w:cs="Arial"/>
        <w:b/>
        <w:bC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C0D6" w14:textId="77777777" w:rsidR="00666B6B" w:rsidRDefault="008D6833">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NOGRR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996C" w14:textId="77777777" w:rsidR="00666B6B" w:rsidRDefault="00666B6B">
    <w:pPr>
      <w:pBdr>
        <w:top w:val="nil"/>
        <w:left w:val="nil"/>
        <w:bottom w:val="nil"/>
        <w:right w:val="nil"/>
        <w:between w:val="nil"/>
      </w:pBdr>
      <w:tabs>
        <w:tab w:val="center" w:pos="4320"/>
        <w:tab w:val="right" w:pos="8640"/>
      </w:tabs>
      <w:ind w:hanging="2"/>
      <w:rPr>
        <w:rFonts w:ascii="Arial" w:eastAsia="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120A0"/>
    <w:multiLevelType w:val="multilevel"/>
    <w:tmpl w:val="27F8CC28"/>
    <w:lvl w:ilvl="0">
      <w:start w:val="1"/>
      <w:numFmt w:val="decimal"/>
      <w:pStyle w:val="Heading11"/>
      <w:lvlText w:val="%1)"/>
      <w:lvlJc w:val="left"/>
      <w:pPr>
        <w:ind w:left="720" w:hanging="360"/>
      </w:pPr>
      <w:rPr>
        <w:u w:val="none"/>
      </w:rPr>
    </w:lvl>
    <w:lvl w:ilvl="1">
      <w:start w:val="1"/>
      <w:numFmt w:val="lowerLetter"/>
      <w:pStyle w:val="Heading21"/>
      <w:lvlText w:val="%2)"/>
      <w:lvlJc w:val="left"/>
      <w:pPr>
        <w:ind w:left="1440" w:hanging="360"/>
      </w:pPr>
      <w:rPr>
        <w:u w:val="none"/>
      </w:rPr>
    </w:lvl>
    <w:lvl w:ilvl="2">
      <w:start w:val="1"/>
      <w:numFmt w:val="lowerRoman"/>
      <w:pStyle w:val="Heading31"/>
      <w:lvlText w:val="%3)"/>
      <w:lvlJc w:val="right"/>
      <w:pPr>
        <w:ind w:left="2160" w:hanging="360"/>
      </w:pPr>
      <w:rPr>
        <w:u w:val="none"/>
      </w:rPr>
    </w:lvl>
    <w:lvl w:ilvl="3">
      <w:start w:val="1"/>
      <w:numFmt w:val="decimal"/>
      <w:pStyle w:val="Heading41"/>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DD573D"/>
    <w:multiLevelType w:val="multilevel"/>
    <w:tmpl w:val="149E575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61300163">
    <w:abstractNumId w:val="0"/>
  </w:num>
  <w:num w:numId="2" w16cid:durableId="2088333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B6B"/>
    <w:rsid w:val="00666B6B"/>
    <w:rsid w:val="00805034"/>
    <w:rsid w:val="008D6833"/>
    <w:rsid w:val="00B9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DCBD"/>
  <w15:docId w15:val="{9B6B6825-AAAE-481D-9BD0-08660570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szCs w:val="20"/>
      <w:lang w:val="en-US"/>
    </w:rPr>
  </w:style>
  <w:style w:type="paragraph" w:styleId="Heading8">
    <w:name w:val="heading 8"/>
    <w:basedOn w:val="Normal"/>
    <w:next w:val="Normal"/>
    <w:pPr>
      <w:suppressAutoHyphens/>
      <w:spacing w:before="240" w:after="60" w:line="1" w:lineRule="atLeast"/>
      <w:ind w:leftChars="-1" w:left="-1" w:hangingChars="1" w:hanging="1"/>
      <w:textDirection w:val="btLr"/>
      <w:textAlignment w:val="top"/>
      <w:outlineLvl w:val="7"/>
    </w:pPr>
    <w:rPr>
      <w:i/>
      <w:position w:val="-1"/>
      <w:szCs w:val="20"/>
      <w:lang w:val="en-US"/>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position w:val="-1"/>
      <w:sz w:val="2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Heading11">
    <w:name w:val="Heading 11"/>
    <w:aliases w:val="h1"/>
    <w:basedOn w:val="Normal"/>
    <w:next w:val="Normal"/>
    <w:pPr>
      <w:keepNext/>
      <w:numPr>
        <w:numId w:val="1"/>
      </w:numPr>
      <w:suppressAutoHyphens/>
      <w:spacing w:after="240" w:line="1" w:lineRule="atLeast"/>
      <w:ind w:leftChars="-1" w:left="-1" w:hangingChars="1" w:hanging="1"/>
      <w:textDirection w:val="btLr"/>
      <w:textAlignment w:val="top"/>
      <w:outlineLvl w:val="0"/>
    </w:pPr>
    <w:rPr>
      <w:b/>
      <w:caps/>
      <w:position w:val="-1"/>
      <w:szCs w:val="20"/>
      <w:lang w:val="en-US"/>
    </w:rPr>
  </w:style>
  <w:style w:type="paragraph" w:customStyle="1" w:styleId="Heading21">
    <w:name w:val="Heading 21"/>
    <w:aliases w:val="h2"/>
    <w:basedOn w:val="Normal"/>
    <w:next w:val="Normal"/>
    <w:pPr>
      <w:keepNext/>
      <w:numPr>
        <w:ilvl w:val="1"/>
        <w:numId w:val="1"/>
      </w:numPr>
      <w:suppressAutoHyphens/>
      <w:spacing w:before="240" w:after="240" w:line="1" w:lineRule="atLeast"/>
      <w:ind w:leftChars="-1" w:left="-1" w:hangingChars="1" w:hanging="1"/>
      <w:textDirection w:val="btLr"/>
      <w:textAlignment w:val="top"/>
      <w:outlineLvl w:val="1"/>
    </w:pPr>
    <w:rPr>
      <w:b/>
      <w:position w:val="-1"/>
      <w:szCs w:val="20"/>
      <w:lang w:val="en-US"/>
    </w:rPr>
  </w:style>
  <w:style w:type="paragraph" w:customStyle="1" w:styleId="Heading31">
    <w:name w:val="Heading 31"/>
    <w:aliases w:val="h3"/>
    <w:basedOn w:val="Normal"/>
    <w:next w:val="Normal"/>
    <w:pPr>
      <w:keepNext/>
      <w:numPr>
        <w:ilvl w:val="2"/>
        <w:numId w:val="1"/>
      </w:numPr>
      <w:suppressAutoHyphens/>
      <w:spacing w:before="120" w:after="120" w:line="1" w:lineRule="atLeast"/>
      <w:ind w:leftChars="-1" w:left="-1" w:hangingChars="1" w:hanging="1"/>
      <w:textDirection w:val="btLr"/>
      <w:textAlignment w:val="top"/>
      <w:outlineLvl w:val="2"/>
    </w:pPr>
    <w:rPr>
      <w:b/>
      <w:bCs/>
      <w:i/>
      <w:iCs/>
      <w:position w:val="-1"/>
      <w:szCs w:val="20"/>
      <w:lang w:val="en-US"/>
    </w:rPr>
  </w:style>
  <w:style w:type="paragraph" w:customStyle="1" w:styleId="Heading41">
    <w:name w:val="Heading 41"/>
    <w:aliases w:val="h4"/>
    <w:basedOn w:val="Normal"/>
    <w:next w:val="Normal"/>
    <w:pPr>
      <w:keepNext/>
      <w:widowControl w:val="0"/>
      <w:numPr>
        <w:ilvl w:val="3"/>
        <w:numId w:val="1"/>
      </w:numPr>
      <w:suppressAutoHyphens/>
      <w:spacing w:before="360" w:after="240" w:line="1" w:lineRule="atLeast"/>
      <w:ind w:leftChars="-1" w:left="-1" w:hangingChars="1" w:hanging="1"/>
      <w:textDirection w:val="btLr"/>
      <w:textAlignment w:val="top"/>
      <w:outlineLvl w:val="3"/>
    </w:pPr>
    <w:rPr>
      <w:b/>
      <w:bCs/>
      <w:snapToGrid w:val="0"/>
      <w:position w:val="-1"/>
      <w:szCs w:val="20"/>
      <w:lang w:val="en-US"/>
    </w:rPr>
  </w:style>
  <w:style w:type="paragraph" w:customStyle="1" w:styleId="Heading51">
    <w:name w:val="Heading 51"/>
    <w:aliases w:val="h5"/>
    <w:basedOn w:val="Normal"/>
    <w:next w:val="Normal"/>
    <w:pPr>
      <w:suppressAutoHyphens/>
      <w:spacing w:before="240" w:after="60" w:line="1" w:lineRule="atLeast"/>
      <w:ind w:leftChars="-1" w:left="-1" w:hangingChars="1" w:hanging="1"/>
      <w:textDirection w:val="btLr"/>
      <w:textAlignment w:val="top"/>
      <w:outlineLvl w:val="4"/>
    </w:pPr>
    <w:rPr>
      <w:b/>
      <w:i/>
      <w:position w:val="-1"/>
      <w:sz w:val="26"/>
      <w:szCs w:val="20"/>
      <w:lang w:val="en-US"/>
    </w:rPr>
  </w:style>
  <w:style w:type="paragraph" w:customStyle="1" w:styleId="Heading61">
    <w:name w:val="Heading 61"/>
    <w:aliases w:val="h6"/>
    <w:basedOn w:val="Normal"/>
    <w:next w:val="Normal"/>
    <w:pPr>
      <w:suppressAutoHyphens/>
      <w:spacing w:before="240" w:after="60" w:line="1" w:lineRule="atLeast"/>
      <w:ind w:leftChars="-1" w:left="-1" w:hangingChars="1" w:hanging="1"/>
      <w:textDirection w:val="btLr"/>
      <w:textAlignment w:val="top"/>
      <w:outlineLvl w:val="5"/>
    </w:pPr>
    <w:rPr>
      <w:b/>
      <w:position w:val="-1"/>
      <w:sz w:val="22"/>
      <w:szCs w:val="20"/>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rFonts w:ascii="Arial" w:hAnsi="Arial"/>
      <w:b/>
      <w:bCs/>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customStyle="1" w:styleId="TXUNormal">
    <w:name w:val="TXUNormal"/>
    <w:pPr>
      <w:suppressAutoHyphens/>
      <w:spacing w:after="120" w:line="1" w:lineRule="atLeast"/>
      <w:ind w:leftChars="-1" w:left="-1" w:hangingChars="1" w:hanging="1"/>
      <w:textDirection w:val="btLr"/>
      <w:textAlignment w:val="top"/>
      <w:outlineLvl w:val="0"/>
    </w:pPr>
    <w:rPr>
      <w:position w:val="-1"/>
      <w:lang w:val="en-US"/>
    </w:r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uppressAutoHyphens/>
      <w:spacing w:before="120" w:after="120" w:line="1" w:lineRule="atLeast"/>
      <w:ind w:leftChars="-1" w:left="720" w:right="720" w:hangingChars="1" w:hanging="1"/>
      <w:textDirection w:val="btLr"/>
      <w:textAlignment w:val="top"/>
      <w:outlineLvl w:val="0"/>
    </w:pPr>
    <w:rPr>
      <w:position w:val="-1"/>
      <w:szCs w:val="20"/>
      <w:lang w:val="en-US"/>
    </w:rPr>
  </w:style>
  <w:style w:type="character" w:styleId="Hyperlink">
    <w:name w:val="Hyperlink"/>
    <w:basedOn w:val="DefaultParagraphFont"/>
    <w:rPr>
      <w:color w:val="0000FF"/>
      <w:w w:val="100"/>
      <w:position w:val="-1"/>
      <w:u w:val="single"/>
      <w:effect w:val="none"/>
      <w:vertAlign w:val="baseline"/>
      <w:cs w:val="0"/>
      <w:em w:val="none"/>
    </w:rPr>
  </w:style>
  <w:style w:type="paragraph" w:styleId="BodyText">
    <w:name w:val="Body Text"/>
    <w:basedOn w:val="Normal"/>
    <w:pPr>
      <w:suppressAutoHyphens/>
      <w:spacing w:before="120" w:after="120" w:line="1" w:lineRule="atLeast"/>
      <w:ind w:leftChars="-1" w:left="-1" w:hangingChars="1" w:hanging="1"/>
      <w:textDirection w:val="btLr"/>
      <w:textAlignment w:val="top"/>
      <w:outlineLvl w:val="0"/>
    </w:pPr>
    <w:rPr>
      <w:position w:val="-1"/>
      <w:lang w:val="en-US"/>
    </w:rPr>
  </w:style>
  <w:style w:type="paragraph" w:styleId="BodyTextIndent">
    <w:name w:val="Body Text Indent"/>
    <w:basedOn w:val="Normal"/>
    <w:pPr>
      <w:suppressAutoHyphens/>
      <w:spacing w:before="120" w:after="120" w:line="1" w:lineRule="atLeast"/>
      <w:ind w:leftChars="-1" w:left="720" w:hangingChars="1" w:hanging="1"/>
      <w:textDirection w:val="btLr"/>
      <w:textAlignment w:val="top"/>
      <w:outlineLvl w:val="0"/>
    </w:pPr>
    <w:rPr>
      <w:position w:val="-1"/>
      <w:lang w:val="en-US"/>
    </w:rPr>
  </w:style>
  <w:style w:type="paragraph" w:customStyle="1" w:styleId="Bullet">
    <w:name w:val="Bullet"/>
    <w:basedOn w:val="Normal"/>
    <w:pPr>
      <w:numPr>
        <w:numId w:val="2"/>
      </w:numPr>
      <w:suppressAutoHyphens/>
      <w:spacing w:before="60" w:after="120" w:line="1" w:lineRule="atLeast"/>
      <w:ind w:leftChars="-1" w:left="-1" w:hangingChars="1" w:hanging="1"/>
      <w:textDirection w:val="btLr"/>
      <w:textAlignment w:val="top"/>
      <w:outlineLvl w:val="0"/>
    </w:pPr>
    <w:rPr>
      <w:position w:val="-1"/>
      <w:szCs w:val="20"/>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customStyle="1" w:styleId="NormalArial">
    <w:name w:val="Normal+Arial"/>
    <w:basedOn w:val="Normal"/>
    <w:pPr>
      <w:suppressAutoHyphens/>
      <w:spacing w:line="1" w:lineRule="atLeast"/>
      <w:ind w:leftChars="-1" w:left="-1" w:hangingChars="1" w:hanging="1"/>
      <w:textDirection w:val="btLr"/>
      <w:textAlignment w:val="top"/>
      <w:outlineLvl w:val="0"/>
    </w:pPr>
    <w:rPr>
      <w:rFonts w:ascii="Arial" w:hAnsi="Arial"/>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paragraph" w:styleId="CommentSubject">
    <w:name w:val="annotation subject"/>
    <w:basedOn w:val="CommentText"/>
    <w:next w:val="CommentText"/>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331912"/>
    <w:rPr>
      <w:color w:val="605E5C"/>
      <w:shd w:val="clear" w:color="auto" w:fill="E1DFDD"/>
    </w:rPr>
  </w:style>
  <w:style w:type="paragraph" w:styleId="ListParagraph">
    <w:name w:val="List Paragraph"/>
    <w:basedOn w:val="Normal"/>
    <w:uiPriority w:val="34"/>
    <w:qFormat/>
    <w:rsid w:val="007C1338"/>
    <w:pPr>
      <w:ind w:left="720"/>
      <w:contextualSpacing/>
    </w:pPr>
  </w:style>
  <w:style w:type="paragraph" w:styleId="Revision">
    <w:name w:val="Revision"/>
    <w:hidden/>
    <w:uiPriority w:val="99"/>
    <w:semiHidden/>
    <w:rsid w:val="00293013"/>
  </w:style>
  <w:style w:type="paragraph" w:styleId="FootnoteText">
    <w:name w:val="footnote text"/>
    <w:basedOn w:val="Normal"/>
    <w:link w:val="FootnoteTextChar"/>
    <w:uiPriority w:val="99"/>
    <w:semiHidden/>
    <w:unhideWhenUsed/>
    <w:rsid w:val="009F360F"/>
    <w:rPr>
      <w:sz w:val="20"/>
      <w:szCs w:val="20"/>
    </w:rPr>
  </w:style>
  <w:style w:type="character" w:customStyle="1" w:styleId="FootnoteTextChar">
    <w:name w:val="Footnote Text Char"/>
    <w:basedOn w:val="DefaultParagraphFont"/>
    <w:link w:val="FootnoteText"/>
    <w:uiPriority w:val="99"/>
    <w:semiHidden/>
    <w:rsid w:val="009F360F"/>
    <w:rPr>
      <w:sz w:val="20"/>
      <w:szCs w:val="20"/>
    </w:rPr>
  </w:style>
  <w:style w:type="character" w:styleId="FootnoteReference">
    <w:name w:val="footnote reference"/>
    <w:basedOn w:val="DefaultParagraphFont"/>
    <w:uiPriority w:val="99"/>
    <w:semiHidden/>
    <w:unhideWhenUsed/>
    <w:rsid w:val="009F360F"/>
    <w:rPr>
      <w:vertAlign w:val="superscript"/>
    </w:rPr>
  </w:style>
  <w:style w:type="character" w:styleId="FollowedHyperlink">
    <w:name w:val="FollowedHyperlink"/>
    <w:basedOn w:val="DefaultParagraphFont"/>
    <w:uiPriority w:val="99"/>
    <w:semiHidden/>
    <w:unhideWhenUsed/>
    <w:rsid w:val="00FB5AD1"/>
    <w:rPr>
      <w:color w:val="800080" w:themeColor="followedHyperlink"/>
      <w:u w:val="single"/>
    </w:rPr>
  </w:style>
  <w:style w:type="table" w:customStyle="1" w:styleId="TableNormal00">
    <w:name w:val="TableNormal0"/>
    <w:rsid w:val="00E93D91"/>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NOGRR28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eeexplore.ieee.org/stamp/stamp.jsp?tp=&amp;arnumber=9281449" TargetMode="External"/><Relationship Id="rId4" Type="http://schemas.openxmlformats.org/officeDocument/2006/relationships/settings" Target="settings.xml"/><Relationship Id="rId9" Type="http://schemas.openxmlformats.org/officeDocument/2006/relationships/hyperlink" Target="mailto:chrismatos@googl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DbCohogSc/bKrDLCe0VY3M8SQ==">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864</Words>
  <Characters>5594</Characters>
  <Application>Microsoft Office Word</Application>
  <DocSecurity>0</DocSecurity>
  <Lines>136</Lines>
  <Paragraphs>53</Paragraphs>
  <ScaleCrop>false</ScaleCrop>
  <Company>ERCOT</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ERCOT/if</dc:creator>
  <cp:lastModifiedBy>C Phillips</cp:lastModifiedBy>
  <cp:revision>3</cp:revision>
  <dcterms:created xsi:type="dcterms:W3CDTF">2026-03-31T19:14:00Z</dcterms:created>
  <dcterms:modified xsi:type="dcterms:W3CDTF">2026-03-31T19:17:00Z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2025-12-04T13:03:29Z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e664732c-0659-4a1c-b43a-eeedd944d589</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